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40" w:rsidRPr="00C027FE" w:rsidRDefault="002D18ED" w:rsidP="00E05F40">
      <w:pPr>
        <w:rPr>
          <w:rFonts w:ascii="方正黑体_GBK" w:eastAsia="方正黑体_GBK"/>
          <w:sz w:val="30"/>
          <w:szCs w:val="30"/>
        </w:rPr>
      </w:pPr>
      <w:bookmarkStart w:id="0" w:name="_GoBack"/>
      <w:bookmarkEnd w:id="0"/>
      <w:r w:rsidRPr="00C027FE">
        <w:rPr>
          <w:rFonts w:ascii="方正黑体_GBK" w:eastAsia="方正黑体_GBK" w:hAnsi="黑体" w:hint="eastAsia"/>
          <w:sz w:val="30"/>
          <w:szCs w:val="30"/>
        </w:rPr>
        <w:t>附件1</w:t>
      </w:r>
    </w:p>
    <w:p w:rsidR="00E05F40" w:rsidRPr="00C027FE" w:rsidRDefault="002D18ED" w:rsidP="00E05F40">
      <w:pPr>
        <w:jc w:val="center"/>
        <w:rPr>
          <w:rFonts w:ascii="方正大标宋_GBK" w:eastAsia="方正大标宋_GBK" w:hAnsi="方正大标宋_GBK"/>
          <w:sz w:val="32"/>
          <w:szCs w:val="32"/>
        </w:rPr>
      </w:pPr>
      <w:r w:rsidRPr="00C027FE">
        <w:rPr>
          <w:rFonts w:ascii="方正大标宋_GBK" w:eastAsia="方正大标宋_GBK" w:hAnsi="方正大标宋_GBK" w:hint="eastAsia"/>
          <w:sz w:val="44"/>
          <w:szCs w:val="44"/>
        </w:rPr>
        <w:t>涉及机构改革法规规章规范性文件清理情况表</w:t>
      </w:r>
    </w:p>
    <w:tbl>
      <w:tblPr>
        <w:tblW w:w="13340" w:type="dxa"/>
        <w:tblInd w:w="93" w:type="dxa"/>
        <w:tblLook w:val="04A0" w:firstRow="1" w:lastRow="0" w:firstColumn="1" w:lastColumn="0" w:noHBand="0" w:noVBand="1"/>
      </w:tblPr>
      <w:tblGrid>
        <w:gridCol w:w="866"/>
        <w:gridCol w:w="2693"/>
        <w:gridCol w:w="709"/>
        <w:gridCol w:w="709"/>
        <w:gridCol w:w="708"/>
        <w:gridCol w:w="993"/>
        <w:gridCol w:w="850"/>
        <w:gridCol w:w="709"/>
        <w:gridCol w:w="655"/>
        <w:gridCol w:w="495"/>
        <w:gridCol w:w="126"/>
        <w:gridCol w:w="2639"/>
        <w:gridCol w:w="1188"/>
      </w:tblGrid>
      <w:tr w:rsidR="00DC4F82" w:rsidTr="004D4E05">
        <w:trPr>
          <w:trHeight w:val="846"/>
        </w:trPr>
        <w:tc>
          <w:tcPr>
            <w:tcW w:w="8892" w:type="dxa"/>
            <w:gridSpan w:val="9"/>
            <w:tcBorders>
              <w:top w:val="nil"/>
              <w:left w:val="nil"/>
              <w:bottom w:val="single" w:sz="4" w:space="0" w:color="auto"/>
              <w:right w:val="nil"/>
            </w:tcBorders>
            <w:shd w:val="clear" w:color="000000" w:fill="FFFFFF"/>
            <w:vAlign w:val="center"/>
          </w:tcPr>
          <w:p w:rsidR="00E05F40" w:rsidRPr="00C027FE" w:rsidRDefault="002D18ED" w:rsidP="00E05F40">
            <w:pPr>
              <w:spacing w:line="240" w:lineRule="exact"/>
              <w:ind w:firstLineChars="50" w:firstLine="105"/>
              <w:rPr>
                <w:rFonts w:ascii="方正仿宋_GBK" w:eastAsia="方正仿宋_GBK"/>
                <w:szCs w:val="21"/>
              </w:rPr>
            </w:pPr>
            <w:r w:rsidRPr="00C027FE">
              <w:rPr>
                <w:rFonts w:ascii="方正仿宋_GBK" w:eastAsia="方正仿宋_GBK" w:hint="eastAsia"/>
                <w:szCs w:val="21"/>
              </w:rPr>
              <w:t>填报单位：</w:t>
            </w:r>
            <w:r>
              <w:rPr>
                <w:rFonts w:ascii="方正仿宋_GBK" w:eastAsia="方正仿宋_GBK" w:hint="eastAsia"/>
                <w:szCs w:val="21"/>
              </w:rPr>
              <w:t>江门市水利局</w:t>
            </w:r>
          </w:p>
        </w:tc>
        <w:tc>
          <w:tcPr>
            <w:tcW w:w="495" w:type="dxa"/>
            <w:tcBorders>
              <w:top w:val="nil"/>
              <w:left w:val="nil"/>
              <w:bottom w:val="single" w:sz="4" w:space="0" w:color="auto"/>
              <w:right w:val="nil"/>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 xml:space="preserve">　</w:t>
            </w:r>
            <w:r>
              <w:rPr>
                <w:rFonts w:ascii="方正仿宋_GBK" w:eastAsia="方正仿宋_GBK" w:hint="eastAsia"/>
                <w:szCs w:val="21"/>
              </w:rPr>
              <w:t xml:space="preserve"> </w:t>
            </w:r>
            <w:r w:rsidR="008308A2">
              <w:rPr>
                <w:rFonts w:ascii="方正仿宋_GBK" w:eastAsia="方正仿宋_GBK" w:hint="eastAsia"/>
                <w:szCs w:val="21"/>
              </w:rPr>
              <w:t xml:space="preserve">     </w:t>
            </w:r>
            <w:r>
              <w:rPr>
                <w:rFonts w:ascii="方正仿宋_GBK" w:eastAsia="方正仿宋_GBK" w:hint="eastAsia"/>
                <w:szCs w:val="21"/>
              </w:rPr>
              <w:t xml:space="preserve">          </w:t>
            </w:r>
          </w:p>
        </w:tc>
        <w:tc>
          <w:tcPr>
            <w:tcW w:w="3953" w:type="dxa"/>
            <w:gridSpan w:val="3"/>
            <w:tcBorders>
              <w:top w:val="nil"/>
              <w:left w:val="nil"/>
              <w:bottom w:val="single" w:sz="4" w:space="0" w:color="auto"/>
              <w:right w:val="nil"/>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填报时间：</w:t>
            </w:r>
            <w:r>
              <w:rPr>
                <w:rFonts w:ascii="方正仿宋_GBK" w:eastAsia="方正仿宋_GBK" w:hint="eastAsia"/>
                <w:szCs w:val="21"/>
              </w:rPr>
              <w:t>2019年7月31日</w:t>
            </w:r>
          </w:p>
        </w:tc>
      </w:tr>
      <w:tr w:rsidR="008308A2" w:rsidTr="004D4E05">
        <w:trPr>
          <w:trHeight w:val="465"/>
        </w:trPr>
        <w:tc>
          <w:tcPr>
            <w:tcW w:w="866" w:type="dxa"/>
            <w:vMerge w:val="restart"/>
            <w:tcBorders>
              <w:top w:val="nil"/>
              <w:left w:val="single" w:sz="4" w:space="0" w:color="auto"/>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序号</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tcPr>
          <w:p w:rsidR="00E05F40" w:rsidRPr="00C027FE" w:rsidRDefault="002D18ED" w:rsidP="00E05F40">
            <w:pPr>
              <w:spacing w:line="240" w:lineRule="exact"/>
              <w:jc w:val="center"/>
              <w:rPr>
                <w:rFonts w:ascii="方正仿宋_GBK" w:eastAsia="方正仿宋_GBK"/>
                <w:szCs w:val="21"/>
              </w:rPr>
            </w:pPr>
            <w:r w:rsidRPr="00C027FE">
              <w:rPr>
                <w:rFonts w:ascii="方正仿宋_GBK" w:eastAsia="方正仿宋_GBK" w:hint="eastAsia"/>
                <w:szCs w:val="21"/>
              </w:rPr>
              <w:t>名称和</w:t>
            </w:r>
            <w:proofErr w:type="gramStart"/>
            <w:r w:rsidRPr="00C027FE">
              <w:rPr>
                <w:rFonts w:ascii="方正仿宋_GBK" w:eastAsia="方正仿宋_GBK" w:hint="eastAsia"/>
                <w:szCs w:val="21"/>
              </w:rPr>
              <w:t>文号</w:t>
            </w:r>
            <w:proofErr w:type="gramEnd"/>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发布日期</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jc w:val="center"/>
              <w:rPr>
                <w:rFonts w:ascii="方正仿宋_GBK" w:eastAsia="方正仿宋_GBK"/>
                <w:szCs w:val="21"/>
              </w:rPr>
            </w:pPr>
            <w:r w:rsidRPr="00C027FE">
              <w:rPr>
                <w:rFonts w:ascii="方正仿宋_GBK" w:eastAsia="方正仿宋_GBK" w:hint="eastAsia"/>
                <w:szCs w:val="21"/>
              </w:rPr>
              <w:t>文件类型</w:t>
            </w:r>
          </w:p>
        </w:tc>
        <w:tc>
          <w:tcPr>
            <w:tcW w:w="1985" w:type="dxa"/>
            <w:gridSpan w:val="4"/>
            <w:tcBorders>
              <w:top w:val="single" w:sz="4" w:space="0" w:color="auto"/>
              <w:left w:val="nil"/>
              <w:bottom w:val="single" w:sz="4" w:space="0" w:color="auto"/>
              <w:right w:val="single" w:sz="4" w:space="0" w:color="000000"/>
            </w:tcBorders>
            <w:shd w:val="clear" w:color="000000" w:fill="FFFFFF"/>
            <w:vAlign w:val="center"/>
          </w:tcPr>
          <w:p w:rsidR="00E05F40" w:rsidRPr="00C027FE" w:rsidRDefault="002D18ED" w:rsidP="00E05F40">
            <w:pPr>
              <w:spacing w:line="240" w:lineRule="exact"/>
              <w:jc w:val="center"/>
              <w:rPr>
                <w:rFonts w:ascii="方正仿宋_GBK" w:eastAsia="方正仿宋_GBK"/>
                <w:szCs w:val="21"/>
              </w:rPr>
            </w:pPr>
            <w:r w:rsidRPr="00C027FE">
              <w:rPr>
                <w:rFonts w:ascii="方正仿宋_GBK" w:eastAsia="方正仿宋_GBK" w:hint="eastAsia"/>
                <w:szCs w:val="21"/>
              </w:rPr>
              <w:t>清理意见</w:t>
            </w:r>
          </w:p>
        </w:tc>
        <w:tc>
          <w:tcPr>
            <w:tcW w:w="2639" w:type="dxa"/>
            <w:tcBorders>
              <w:top w:val="nil"/>
              <w:left w:val="single" w:sz="4" w:space="0" w:color="auto"/>
              <w:bottom w:val="single" w:sz="4" w:space="0" w:color="auto"/>
              <w:right w:val="single" w:sz="4" w:space="0" w:color="auto"/>
            </w:tcBorders>
            <w:shd w:val="clear" w:color="000000" w:fill="FFFFFF"/>
            <w:vAlign w:val="center"/>
          </w:tcPr>
          <w:p w:rsidR="00E05F40" w:rsidRPr="004D4E05" w:rsidRDefault="002D18ED" w:rsidP="00E05F40">
            <w:pPr>
              <w:spacing w:line="240" w:lineRule="exact"/>
              <w:jc w:val="center"/>
              <w:rPr>
                <w:rFonts w:ascii="宋体" w:hAnsi="宋体"/>
                <w:szCs w:val="21"/>
              </w:rPr>
            </w:pPr>
            <w:r w:rsidRPr="004D4E05">
              <w:rPr>
                <w:rFonts w:ascii="宋体" w:hAnsi="宋体" w:hint="eastAsia"/>
                <w:szCs w:val="21"/>
              </w:rPr>
              <w:t>理由</w:t>
            </w:r>
          </w:p>
        </w:tc>
        <w:tc>
          <w:tcPr>
            <w:tcW w:w="1188" w:type="dxa"/>
            <w:tcBorders>
              <w:top w:val="nil"/>
              <w:left w:val="single" w:sz="4" w:space="0" w:color="auto"/>
              <w:bottom w:val="single" w:sz="4" w:space="0" w:color="auto"/>
              <w:right w:val="single" w:sz="4" w:space="0" w:color="auto"/>
            </w:tcBorders>
            <w:shd w:val="clear" w:color="000000" w:fill="FFFFFF"/>
            <w:vAlign w:val="center"/>
          </w:tcPr>
          <w:p w:rsidR="00E05F40" w:rsidRPr="00C027FE" w:rsidRDefault="002D18ED" w:rsidP="00E05F40">
            <w:pPr>
              <w:spacing w:line="240" w:lineRule="exact"/>
              <w:jc w:val="center"/>
              <w:rPr>
                <w:rFonts w:ascii="方正仿宋_GBK" w:eastAsia="方正仿宋_GBK"/>
                <w:szCs w:val="21"/>
              </w:rPr>
            </w:pPr>
            <w:r w:rsidRPr="00C027FE">
              <w:rPr>
                <w:rFonts w:ascii="方正仿宋_GBK" w:eastAsia="方正仿宋_GBK" w:hint="eastAsia"/>
                <w:szCs w:val="21"/>
              </w:rPr>
              <w:t>备注</w:t>
            </w:r>
          </w:p>
        </w:tc>
      </w:tr>
      <w:tr w:rsidR="008308A2" w:rsidTr="004D4E05">
        <w:trPr>
          <w:trHeight w:val="525"/>
        </w:trPr>
        <w:tc>
          <w:tcPr>
            <w:tcW w:w="866" w:type="dxa"/>
            <w:vMerge/>
            <w:tcBorders>
              <w:top w:val="nil"/>
              <w:left w:val="single" w:sz="4" w:space="0" w:color="auto"/>
              <w:bottom w:val="single" w:sz="4" w:space="0" w:color="auto"/>
              <w:right w:val="single" w:sz="4" w:space="0" w:color="auto"/>
            </w:tcBorders>
            <w:vAlign w:val="center"/>
          </w:tcPr>
          <w:p w:rsidR="00E05F40" w:rsidRPr="00C027FE" w:rsidRDefault="00E42552" w:rsidP="00E05F40">
            <w:pPr>
              <w:spacing w:line="240" w:lineRule="exact"/>
              <w:rPr>
                <w:rFonts w:ascii="方正仿宋_GBK" w:eastAsia="方正仿宋_GBK"/>
                <w:szCs w:val="21"/>
              </w:rPr>
            </w:pPr>
          </w:p>
        </w:tc>
        <w:tc>
          <w:tcPr>
            <w:tcW w:w="2693" w:type="dxa"/>
            <w:vMerge/>
            <w:tcBorders>
              <w:top w:val="nil"/>
              <w:left w:val="single" w:sz="4" w:space="0" w:color="auto"/>
              <w:bottom w:val="single" w:sz="4" w:space="0" w:color="auto"/>
              <w:right w:val="single" w:sz="4" w:space="0" w:color="auto"/>
            </w:tcBorders>
            <w:vAlign w:val="center"/>
          </w:tcPr>
          <w:p w:rsidR="00E05F40" w:rsidRPr="00C027FE" w:rsidRDefault="00E42552" w:rsidP="00E05F40">
            <w:pPr>
              <w:spacing w:line="240" w:lineRule="exact"/>
              <w:rPr>
                <w:rFonts w:ascii="方正仿宋_GBK" w:eastAsia="方正仿宋_GBK"/>
                <w:szCs w:val="21"/>
              </w:rPr>
            </w:pPr>
          </w:p>
        </w:tc>
        <w:tc>
          <w:tcPr>
            <w:tcW w:w="709" w:type="dxa"/>
            <w:vMerge/>
            <w:tcBorders>
              <w:top w:val="nil"/>
              <w:left w:val="single" w:sz="4" w:space="0" w:color="auto"/>
              <w:bottom w:val="single" w:sz="4" w:space="0" w:color="auto"/>
              <w:right w:val="single" w:sz="4" w:space="0" w:color="auto"/>
            </w:tcBorders>
            <w:vAlign w:val="center"/>
          </w:tcPr>
          <w:p w:rsidR="00E05F40" w:rsidRPr="00C027FE" w:rsidRDefault="00E42552" w:rsidP="00E05F40">
            <w:pPr>
              <w:spacing w:line="240" w:lineRule="exact"/>
              <w:rPr>
                <w:rFonts w:ascii="方正仿宋_GBK" w:eastAsia="方正仿宋_GBK"/>
                <w:szCs w:val="21"/>
              </w:rPr>
            </w:pPr>
          </w:p>
        </w:tc>
        <w:tc>
          <w:tcPr>
            <w:tcW w:w="709" w:type="dxa"/>
            <w:tcBorders>
              <w:top w:val="nil"/>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法规</w:t>
            </w:r>
          </w:p>
        </w:tc>
        <w:tc>
          <w:tcPr>
            <w:tcW w:w="708" w:type="dxa"/>
            <w:tcBorders>
              <w:top w:val="nil"/>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规章</w:t>
            </w:r>
          </w:p>
        </w:tc>
        <w:tc>
          <w:tcPr>
            <w:tcW w:w="993" w:type="dxa"/>
            <w:tcBorders>
              <w:top w:val="nil"/>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政府规范性文件</w:t>
            </w:r>
          </w:p>
        </w:tc>
        <w:tc>
          <w:tcPr>
            <w:tcW w:w="850" w:type="dxa"/>
            <w:tcBorders>
              <w:top w:val="nil"/>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部门规范性文件</w:t>
            </w:r>
          </w:p>
        </w:tc>
        <w:tc>
          <w:tcPr>
            <w:tcW w:w="709" w:type="dxa"/>
            <w:tcBorders>
              <w:top w:val="nil"/>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保留</w:t>
            </w:r>
          </w:p>
        </w:tc>
        <w:tc>
          <w:tcPr>
            <w:tcW w:w="655" w:type="dxa"/>
            <w:tcBorders>
              <w:top w:val="nil"/>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修改</w:t>
            </w:r>
          </w:p>
        </w:tc>
        <w:tc>
          <w:tcPr>
            <w:tcW w:w="621" w:type="dxa"/>
            <w:gridSpan w:val="2"/>
            <w:tcBorders>
              <w:top w:val="nil"/>
              <w:left w:val="nil"/>
              <w:bottom w:val="single" w:sz="4" w:space="0" w:color="auto"/>
              <w:right w:val="single" w:sz="4" w:space="0" w:color="auto"/>
            </w:tcBorders>
            <w:shd w:val="clear" w:color="000000" w:fill="FFFFFF"/>
            <w:vAlign w:val="center"/>
          </w:tcPr>
          <w:p w:rsidR="00E05F40" w:rsidRPr="00C027FE" w:rsidRDefault="002D18ED" w:rsidP="00E05F40">
            <w:pPr>
              <w:spacing w:line="240" w:lineRule="exact"/>
              <w:rPr>
                <w:rFonts w:ascii="方正仿宋_GBK" w:eastAsia="方正仿宋_GBK"/>
                <w:szCs w:val="21"/>
              </w:rPr>
            </w:pPr>
            <w:r w:rsidRPr="00C027FE">
              <w:rPr>
                <w:rFonts w:ascii="方正仿宋_GBK" w:eastAsia="方正仿宋_GBK" w:hint="eastAsia"/>
                <w:szCs w:val="21"/>
              </w:rPr>
              <w:t>废止</w:t>
            </w:r>
          </w:p>
        </w:tc>
        <w:tc>
          <w:tcPr>
            <w:tcW w:w="2639" w:type="dxa"/>
            <w:tcBorders>
              <w:top w:val="nil"/>
              <w:left w:val="single" w:sz="4" w:space="0" w:color="auto"/>
              <w:bottom w:val="single" w:sz="4" w:space="0" w:color="auto"/>
              <w:right w:val="single" w:sz="4" w:space="0" w:color="auto"/>
            </w:tcBorders>
            <w:vAlign w:val="center"/>
          </w:tcPr>
          <w:p w:rsidR="00E05F40" w:rsidRPr="004D4E05" w:rsidRDefault="00E42552" w:rsidP="00E05F40">
            <w:pPr>
              <w:spacing w:line="240" w:lineRule="exact"/>
              <w:rPr>
                <w:rFonts w:ascii="宋体" w:hAnsi="宋体"/>
                <w:szCs w:val="21"/>
              </w:rPr>
            </w:pPr>
          </w:p>
        </w:tc>
        <w:tc>
          <w:tcPr>
            <w:tcW w:w="1188" w:type="dxa"/>
            <w:tcBorders>
              <w:top w:val="nil"/>
              <w:left w:val="single" w:sz="4" w:space="0" w:color="auto"/>
              <w:bottom w:val="single" w:sz="4" w:space="0" w:color="auto"/>
              <w:right w:val="single" w:sz="4" w:space="0" w:color="auto"/>
            </w:tcBorders>
            <w:vAlign w:val="center"/>
          </w:tcPr>
          <w:p w:rsidR="00E05F40" w:rsidRPr="00C027FE" w:rsidRDefault="00E42552" w:rsidP="00E05F40">
            <w:pPr>
              <w:spacing w:line="240" w:lineRule="exact"/>
              <w:rPr>
                <w:rFonts w:ascii="方正仿宋_GBK" w:eastAsia="方正仿宋_GBK"/>
                <w:szCs w:val="21"/>
              </w:rPr>
            </w:pPr>
          </w:p>
        </w:tc>
      </w:tr>
      <w:tr w:rsidR="004D4E05" w:rsidTr="004D4E05">
        <w:trPr>
          <w:trHeight w:val="929"/>
        </w:trPr>
        <w:tc>
          <w:tcPr>
            <w:tcW w:w="866" w:type="dxa"/>
            <w:tcBorders>
              <w:top w:val="nil"/>
              <w:left w:val="single" w:sz="4" w:space="0" w:color="auto"/>
              <w:bottom w:val="single" w:sz="4" w:space="0" w:color="auto"/>
              <w:right w:val="single" w:sz="4" w:space="0" w:color="auto"/>
            </w:tcBorders>
            <w:shd w:val="clear" w:color="000000" w:fill="FFFFFF"/>
            <w:vAlign w:val="center"/>
          </w:tcPr>
          <w:p w:rsidR="00E05F40" w:rsidRPr="004D4E05" w:rsidRDefault="002D18ED" w:rsidP="00E05F40">
            <w:pPr>
              <w:spacing w:line="240" w:lineRule="exact"/>
              <w:jc w:val="center"/>
              <w:rPr>
                <w:rFonts w:ascii="宋体" w:hAnsi="宋体"/>
                <w:szCs w:val="21"/>
              </w:rPr>
            </w:pPr>
            <w:r w:rsidRPr="004D4E05">
              <w:rPr>
                <w:rFonts w:ascii="宋体" w:hAnsi="宋体"/>
                <w:szCs w:val="21"/>
              </w:rPr>
              <w:t>1</w:t>
            </w:r>
          </w:p>
        </w:tc>
        <w:tc>
          <w:tcPr>
            <w:tcW w:w="2693" w:type="dxa"/>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《关于印发江门市水库水资源保护暂行规定的通知》（江府〔</w:t>
            </w:r>
            <w:r w:rsidRPr="004D4E05">
              <w:rPr>
                <w:rFonts w:ascii="宋体" w:hAnsi="宋体"/>
                <w:szCs w:val="21"/>
              </w:rPr>
              <w:t>2006</w:t>
            </w:r>
            <w:r w:rsidRPr="004D4E05">
              <w:rPr>
                <w:rFonts w:ascii="宋体" w:hAnsi="宋体" w:hint="eastAsia"/>
                <w:szCs w:val="21"/>
              </w:rPr>
              <w:t>〕</w:t>
            </w:r>
            <w:r w:rsidRPr="004D4E05">
              <w:rPr>
                <w:rFonts w:ascii="宋体" w:hAnsi="宋体"/>
                <w:szCs w:val="21"/>
              </w:rPr>
              <w:t>7</w:t>
            </w:r>
            <w:r w:rsidRPr="004D4E05">
              <w:rPr>
                <w:rFonts w:ascii="宋体" w:hAnsi="宋体" w:hint="eastAsia"/>
                <w:szCs w:val="21"/>
              </w:rPr>
              <w:t>号）</w:t>
            </w:r>
          </w:p>
        </w:tc>
        <w:tc>
          <w:tcPr>
            <w:tcW w:w="709" w:type="dxa"/>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8" w:type="dxa"/>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jc w:val="center"/>
              <w:rPr>
                <w:rFonts w:ascii="宋体" w:hAnsi="宋体"/>
                <w:szCs w:val="21"/>
              </w:rPr>
            </w:pPr>
            <w:r w:rsidRPr="004D4E05">
              <w:rPr>
                <w:rFonts w:ascii="宋体" w:hAnsi="宋体" w:hint="eastAsia"/>
                <w:szCs w:val="21"/>
              </w:rPr>
              <w:t>√</w:t>
            </w:r>
          </w:p>
        </w:tc>
        <w:tc>
          <w:tcPr>
            <w:tcW w:w="850" w:type="dxa"/>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E05F40" w:rsidRPr="004D4E05" w:rsidRDefault="00E42552" w:rsidP="004D4E05">
            <w:pPr>
              <w:spacing w:line="240" w:lineRule="exact"/>
              <w:ind w:firstLineChars="50" w:firstLine="105"/>
              <w:rPr>
                <w:rFonts w:ascii="宋体" w:hAnsi="宋体"/>
                <w:szCs w:val="21"/>
              </w:rPr>
            </w:pPr>
          </w:p>
        </w:tc>
        <w:tc>
          <w:tcPr>
            <w:tcW w:w="655" w:type="dxa"/>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621" w:type="dxa"/>
            <w:gridSpan w:val="2"/>
            <w:tcBorders>
              <w:top w:val="nil"/>
              <w:left w:val="nil"/>
              <w:bottom w:val="single" w:sz="4" w:space="0" w:color="auto"/>
              <w:right w:val="single" w:sz="4" w:space="0" w:color="auto"/>
            </w:tcBorders>
            <w:shd w:val="clear" w:color="000000" w:fill="FFFFFF"/>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2639" w:type="dxa"/>
            <w:tcBorders>
              <w:top w:val="nil"/>
              <w:left w:val="nil"/>
              <w:bottom w:val="single" w:sz="4" w:space="0" w:color="auto"/>
              <w:right w:val="single" w:sz="4" w:space="0" w:color="auto"/>
            </w:tcBorders>
            <w:shd w:val="clear" w:color="000000" w:fill="FFFFFF"/>
            <w:vAlign w:val="center"/>
          </w:tcPr>
          <w:p w:rsidR="00E05F40" w:rsidRPr="004D4E05" w:rsidRDefault="002D18ED" w:rsidP="004D4E05">
            <w:pPr>
              <w:autoSpaceDE w:val="0"/>
              <w:autoSpaceDN w:val="0"/>
              <w:adjustRightInd w:val="0"/>
              <w:ind w:firstLineChars="50" w:firstLine="105"/>
              <w:jc w:val="left"/>
              <w:rPr>
                <w:rFonts w:ascii="宋体" w:hAnsi="宋体" w:cs="Tahoma"/>
                <w:kern w:val="0"/>
                <w:szCs w:val="21"/>
                <w:lang w:val="zh-CN"/>
              </w:rPr>
            </w:pPr>
            <w:r w:rsidRPr="004D4E05">
              <w:rPr>
                <w:rFonts w:ascii="宋体" w:hAnsi="宋体" w:cs="Tahoma" w:hint="eastAsia"/>
                <w:kern w:val="0"/>
                <w:szCs w:val="21"/>
                <w:lang w:val="zh-CN"/>
              </w:rPr>
              <w:t>该规范性文件依据的《广东省水资源管理条例》等上位法已废止，且自</w:t>
            </w:r>
            <w:r w:rsidRPr="004D4E05">
              <w:rPr>
                <w:rFonts w:ascii="宋体" w:hAnsi="宋体" w:cs="Tahoma"/>
                <w:kern w:val="0"/>
                <w:szCs w:val="21"/>
                <w:lang w:val="zh-CN"/>
              </w:rPr>
              <w:t>2011</w:t>
            </w:r>
            <w:r w:rsidRPr="004D4E05">
              <w:rPr>
                <w:rFonts w:ascii="宋体" w:hAnsi="宋体" w:cs="Tahoma" w:hint="eastAsia"/>
                <w:kern w:val="0"/>
                <w:szCs w:val="21"/>
                <w:lang w:val="zh-CN"/>
              </w:rPr>
              <w:t>年实行最严格水资源管理制度后，有关上位法规定及相关制度与政策可保障我市水库水资源保护工作需要。</w:t>
            </w:r>
          </w:p>
        </w:tc>
        <w:tc>
          <w:tcPr>
            <w:tcW w:w="1188" w:type="dxa"/>
            <w:tcBorders>
              <w:top w:val="nil"/>
              <w:left w:val="nil"/>
              <w:bottom w:val="single" w:sz="4" w:space="0" w:color="auto"/>
              <w:right w:val="single" w:sz="4" w:space="0" w:color="auto"/>
            </w:tcBorders>
            <w:shd w:val="clear" w:color="000000" w:fill="FFFFFF"/>
            <w:vAlign w:val="center"/>
          </w:tcPr>
          <w:p w:rsidR="00E05F40" w:rsidRPr="0064183A" w:rsidRDefault="002D18ED" w:rsidP="00E05F40">
            <w:pPr>
              <w:spacing w:line="240" w:lineRule="exact"/>
              <w:rPr>
                <w:rFonts w:ascii="仿宋" w:eastAsia="仿宋" w:hAnsi="仿宋"/>
                <w:sz w:val="24"/>
              </w:rPr>
            </w:pPr>
            <w:r w:rsidRPr="0064183A">
              <w:rPr>
                <w:rFonts w:ascii="仿宋" w:eastAsia="仿宋" w:hAnsi="仿宋" w:hint="eastAsia"/>
                <w:sz w:val="24"/>
              </w:rPr>
              <w:t xml:space="preserve">　</w:t>
            </w:r>
          </w:p>
        </w:tc>
      </w:tr>
      <w:tr w:rsidR="008308A2" w:rsidRPr="002D18ED" w:rsidTr="004D4E05">
        <w:trPr>
          <w:trHeight w:val="91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szCs w:val="21"/>
              </w:rPr>
              <w:t>2</w:t>
            </w:r>
          </w:p>
        </w:tc>
        <w:tc>
          <w:tcPr>
            <w:tcW w:w="26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《印发江门市江新联围大堤管理办法的通知》（江府办〔</w:t>
            </w:r>
            <w:r w:rsidRPr="004D4E05">
              <w:rPr>
                <w:rFonts w:ascii="宋体" w:hAnsi="宋体"/>
                <w:szCs w:val="21"/>
              </w:rPr>
              <w:t>2008</w:t>
            </w:r>
            <w:r w:rsidRPr="004D4E05">
              <w:rPr>
                <w:rFonts w:ascii="宋体" w:hAnsi="宋体" w:hint="eastAsia"/>
                <w:szCs w:val="21"/>
              </w:rPr>
              <w:t>〕</w:t>
            </w:r>
            <w:r w:rsidRPr="004D4E05">
              <w:rPr>
                <w:rFonts w:ascii="宋体" w:hAnsi="宋体"/>
                <w:szCs w:val="21"/>
              </w:rPr>
              <w:t>2</w:t>
            </w:r>
            <w:r w:rsidRPr="004D4E05">
              <w:rPr>
                <w:rFonts w:ascii="宋体" w:hAnsi="宋体" w:hint="eastAsia"/>
                <w:szCs w:val="21"/>
              </w:rPr>
              <w:t>号）</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hint="eastAsia"/>
                <w:szCs w:val="21"/>
              </w:rPr>
              <w:t>√</w:t>
            </w:r>
          </w:p>
        </w:tc>
        <w:tc>
          <w:tcPr>
            <w:tcW w:w="850"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hint="eastAsia"/>
                <w:szCs w:val="21"/>
              </w:rPr>
              <w:t>√</w:t>
            </w:r>
          </w:p>
        </w:tc>
        <w:tc>
          <w:tcPr>
            <w:tcW w:w="655"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621" w:type="dxa"/>
            <w:gridSpan w:val="2"/>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2639" w:type="dxa"/>
            <w:tcBorders>
              <w:top w:val="nil"/>
              <w:left w:val="nil"/>
              <w:bottom w:val="single" w:sz="4" w:space="0" w:color="auto"/>
              <w:right w:val="single" w:sz="4" w:space="0" w:color="auto"/>
            </w:tcBorders>
            <w:shd w:val="clear" w:color="auto" w:fill="auto"/>
            <w:noWrap/>
            <w:vAlign w:val="center"/>
          </w:tcPr>
          <w:p w:rsidR="008308A2" w:rsidRPr="004D4E05" w:rsidRDefault="002D18ED">
            <w:pPr>
              <w:spacing w:line="240" w:lineRule="exact"/>
              <w:rPr>
                <w:rFonts w:ascii="宋体" w:hAnsi="宋体"/>
                <w:szCs w:val="21"/>
              </w:rPr>
            </w:pPr>
            <w:r w:rsidRPr="004D4E05">
              <w:rPr>
                <w:rFonts w:ascii="宋体" w:hAnsi="宋体" w:hint="eastAsia"/>
                <w:szCs w:val="21"/>
              </w:rPr>
              <w:t xml:space="preserve">　需要大堤管理办法作为依据对大堤进行管理。</w:t>
            </w:r>
          </w:p>
        </w:tc>
        <w:tc>
          <w:tcPr>
            <w:tcW w:w="1188"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r>
      <w:tr w:rsidR="008308A2" w:rsidRPr="002D18ED" w:rsidTr="004D4E05">
        <w:trPr>
          <w:trHeight w:val="912"/>
        </w:trPr>
        <w:tc>
          <w:tcPr>
            <w:tcW w:w="866" w:type="dxa"/>
            <w:tcBorders>
              <w:top w:val="nil"/>
              <w:left w:val="single" w:sz="4" w:space="0" w:color="auto"/>
              <w:bottom w:val="single" w:sz="4" w:space="0" w:color="auto"/>
              <w:right w:val="single" w:sz="4" w:space="0" w:color="auto"/>
            </w:tcBorders>
            <w:shd w:val="clear" w:color="000000" w:fill="FFFFFF"/>
            <w:vAlign w:val="center"/>
          </w:tcPr>
          <w:p w:rsidR="00E05F40" w:rsidRPr="004D4E05" w:rsidRDefault="002D18ED" w:rsidP="00E05F40">
            <w:pPr>
              <w:spacing w:line="240" w:lineRule="exact"/>
              <w:jc w:val="center"/>
              <w:rPr>
                <w:rFonts w:ascii="宋体" w:hAnsi="宋体"/>
                <w:szCs w:val="21"/>
              </w:rPr>
            </w:pPr>
            <w:r w:rsidRPr="004D4E05">
              <w:rPr>
                <w:rFonts w:ascii="宋体" w:hAnsi="宋体"/>
                <w:szCs w:val="21"/>
              </w:rPr>
              <w:t>3</w:t>
            </w:r>
          </w:p>
        </w:tc>
        <w:tc>
          <w:tcPr>
            <w:tcW w:w="26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《江门市区堤围防护费征收使用管理办法》（江府〔</w:t>
            </w:r>
            <w:r w:rsidRPr="004D4E05">
              <w:rPr>
                <w:rFonts w:ascii="宋体" w:hAnsi="宋体"/>
                <w:szCs w:val="21"/>
              </w:rPr>
              <w:t>2010</w:t>
            </w:r>
            <w:r w:rsidRPr="004D4E05">
              <w:rPr>
                <w:rFonts w:ascii="宋体" w:hAnsi="宋体" w:hint="eastAsia"/>
                <w:szCs w:val="21"/>
              </w:rPr>
              <w:t>〕</w:t>
            </w:r>
            <w:r w:rsidRPr="004D4E05">
              <w:rPr>
                <w:rFonts w:ascii="宋体" w:hAnsi="宋体"/>
                <w:szCs w:val="21"/>
              </w:rPr>
              <w:t>13</w:t>
            </w:r>
            <w:r w:rsidRPr="004D4E05">
              <w:rPr>
                <w:rFonts w:ascii="宋体" w:hAnsi="宋体" w:hint="eastAsia"/>
                <w:szCs w:val="21"/>
              </w:rPr>
              <w:t>号）</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hint="eastAsia"/>
                <w:szCs w:val="21"/>
              </w:rPr>
              <w:t>√</w:t>
            </w:r>
          </w:p>
        </w:tc>
        <w:tc>
          <w:tcPr>
            <w:tcW w:w="850"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hint="eastAsia"/>
                <w:szCs w:val="21"/>
              </w:rPr>
              <w:t>√</w:t>
            </w:r>
          </w:p>
        </w:tc>
        <w:tc>
          <w:tcPr>
            <w:tcW w:w="655"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621" w:type="dxa"/>
            <w:gridSpan w:val="2"/>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263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经与省水利厅沟通，省尚未废止省级征收使用管理办法。</w:t>
            </w:r>
          </w:p>
        </w:tc>
        <w:tc>
          <w:tcPr>
            <w:tcW w:w="1188"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r>
      <w:tr w:rsidR="008308A2" w:rsidRPr="002D18ED" w:rsidTr="004D4E05">
        <w:trPr>
          <w:trHeight w:val="1412"/>
        </w:trPr>
        <w:tc>
          <w:tcPr>
            <w:tcW w:w="866" w:type="dxa"/>
            <w:tcBorders>
              <w:top w:val="nil"/>
              <w:left w:val="single" w:sz="4" w:space="0" w:color="auto"/>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szCs w:val="21"/>
              </w:rPr>
              <w:lastRenderedPageBreak/>
              <w:t>4</w:t>
            </w:r>
          </w:p>
        </w:tc>
        <w:tc>
          <w:tcPr>
            <w:tcW w:w="26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460" w:lineRule="exact"/>
              <w:jc w:val="center"/>
              <w:rPr>
                <w:rFonts w:ascii="宋体" w:hAnsi="宋体" w:cs="宋体"/>
                <w:szCs w:val="21"/>
              </w:rPr>
            </w:pPr>
            <w:r w:rsidRPr="004D4E05">
              <w:rPr>
                <w:rFonts w:ascii="宋体" w:hAnsi="宋体" w:hint="eastAsia"/>
                <w:szCs w:val="21"/>
              </w:rPr>
              <w:t xml:space="preserve">　《印发江门市潭江水资源保护专项资金使用管理办法的通知》（江府办〔</w:t>
            </w:r>
            <w:r w:rsidRPr="004D4E05">
              <w:rPr>
                <w:rFonts w:ascii="宋体" w:hAnsi="宋体"/>
                <w:szCs w:val="21"/>
              </w:rPr>
              <w:t>2008</w:t>
            </w:r>
            <w:r w:rsidRPr="004D4E05">
              <w:rPr>
                <w:rFonts w:ascii="宋体" w:hAnsi="宋体" w:hint="eastAsia"/>
                <w:szCs w:val="21"/>
              </w:rPr>
              <w:t>〕</w:t>
            </w:r>
            <w:r w:rsidRPr="004D4E05">
              <w:rPr>
                <w:rFonts w:ascii="宋体" w:hAnsi="宋体"/>
                <w:szCs w:val="21"/>
              </w:rPr>
              <w:t>18</w:t>
            </w:r>
            <w:r w:rsidRPr="004D4E05">
              <w:rPr>
                <w:rFonts w:ascii="宋体" w:hAnsi="宋体" w:hint="eastAsia"/>
                <w:szCs w:val="21"/>
              </w:rPr>
              <w:t>号）</w:t>
            </w:r>
          </w:p>
          <w:p w:rsidR="00E05F40" w:rsidRPr="004D4E05" w:rsidRDefault="00E42552" w:rsidP="00E05F40">
            <w:pPr>
              <w:spacing w:line="24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hint="eastAsia"/>
                <w:szCs w:val="21"/>
              </w:rPr>
              <w:t>√</w:t>
            </w:r>
          </w:p>
        </w:tc>
        <w:tc>
          <w:tcPr>
            <w:tcW w:w="850"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655" w:type="dxa"/>
            <w:tcBorders>
              <w:top w:val="nil"/>
              <w:left w:val="nil"/>
              <w:bottom w:val="single" w:sz="4" w:space="0" w:color="auto"/>
              <w:right w:val="single" w:sz="4" w:space="0" w:color="auto"/>
            </w:tcBorders>
            <w:shd w:val="clear" w:color="auto" w:fill="auto"/>
            <w:noWrap/>
            <w:vAlign w:val="center"/>
          </w:tcPr>
          <w:p w:rsidR="00E05F40" w:rsidRPr="004D4E05" w:rsidRDefault="002D18ED" w:rsidP="004D4E05">
            <w:pPr>
              <w:spacing w:line="240" w:lineRule="exact"/>
              <w:ind w:firstLineChars="50" w:firstLine="105"/>
              <w:rPr>
                <w:rFonts w:ascii="宋体" w:hAnsi="宋体"/>
                <w:szCs w:val="21"/>
              </w:rPr>
            </w:pPr>
            <w:r w:rsidRPr="004D4E05">
              <w:rPr>
                <w:rFonts w:ascii="宋体" w:hAnsi="宋体" w:hint="eastAsia"/>
                <w:szCs w:val="21"/>
              </w:rPr>
              <w:t>√</w:t>
            </w:r>
          </w:p>
        </w:tc>
        <w:tc>
          <w:tcPr>
            <w:tcW w:w="621" w:type="dxa"/>
            <w:gridSpan w:val="2"/>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w:t>
            </w:r>
          </w:p>
        </w:tc>
        <w:tc>
          <w:tcPr>
            <w:tcW w:w="263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 xml:space="preserve">　根据市委市政府工作要求，江门市潭江水资源保护专项资金自</w:t>
            </w:r>
            <w:r w:rsidRPr="004D4E05">
              <w:rPr>
                <w:rFonts w:ascii="宋体" w:hAnsi="宋体"/>
                <w:szCs w:val="21"/>
              </w:rPr>
              <w:t>2018年起由市河长办统筹</w:t>
            </w:r>
            <w:r w:rsidRPr="004D4E05">
              <w:rPr>
                <w:rFonts w:ascii="宋体" w:hAnsi="宋体" w:hint="eastAsia"/>
                <w:szCs w:val="21"/>
              </w:rPr>
              <w:t>管理使用，同时根据财政部门有关专项资金使用管理的新规定，需对该文件进行相应修订。</w:t>
            </w:r>
          </w:p>
        </w:tc>
        <w:tc>
          <w:tcPr>
            <w:tcW w:w="1188"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已列入《江门市</w:t>
            </w:r>
            <w:r w:rsidRPr="004D4E05">
              <w:rPr>
                <w:rFonts w:ascii="宋体" w:hAnsi="宋体"/>
                <w:szCs w:val="21"/>
              </w:rPr>
              <w:t>2019</w:t>
            </w:r>
            <w:r w:rsidRPr="004D4E05">
              <w:rPr>
                <w:rFonts w:ascii="宋体" w:hAnsi="宋体" w:hint="eastAsia"/>
                <w:szCs w:val="21"/>
              </w:rPr>
              <w:t>年度政府规范性文件制定计划》正式项目</w:t>
            </w:r>
          </w:p>
        </w:tc>
      </w:tr>
      <w:tr w:rsidR="008308A2" w:rsidRPr="002D18ED" w:rsidTr="004D4E05">
        <w:trPr>
          <w:trHeight w:val="1884"/>
        </w:trPr>
        <w:tc>
          <w:tcPr>
            <w:tcW w:w="866" w:type="dxa"/>
            <w:tcBorders>
              <w:top w:val="nil"/>
              <w:left w:val="single" w:sz="4" w:space="0" w:color="auto"/>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szCs w:val="21"/>
              </w:rPr>
              <w:t>5</w:t>
            </w:r>
          </w:p>
        </w:tc>
        <w:tc>
          <w:tcPr>
            <w:tcW w:w="26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4D4E05">
            <w:pPr>
              <w:jc w:val="center"/>
              <w:rPr>
                <w:rFonts w:ascii="宋体" w:hAnsi="宋体"/>
                <w:szCs w:val="21"/>
              </w:rPr>
            </w:pPr>
            <w:r w:rsidRPr="004D4E05">
              <w:rPr>
                <w:rFonts w:ascii="宋体" w:hAnsi="宋体" w:hint="eastAsia"/>
                <w:color w:val="000000"/>
                <w:szCs w:val="21"/>
              </w:rPr>
              <w:t>《关于印发修订后江门市水务局行政处罚自由裁量权量化的通知》（江水法</w:t>
            </w:r>
            <w:r w:rsidRPr="004D4E05">
              <w:rPr>
                <w:rFonts w:ascii="宋体" w:hAnsi="宋体"/>
                <w:color w:val="000000"/>
                <w:szCs w:val="21"/>
              </w:rPr>
              <w:t>[2012]12</w:t>
            </w:r>
            <w:r w:rsidRPr="004D4E05">
              <w:rPr>
                <w:rFonts w:ascii="宋体" w:hAnsi="宋体" w:hint="eastAsia"/>
                <w:color w:val="000000"/>
                <w:szCs w:val="21"/>
              </w:rPr>
              <w:t>号）</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i/>
                <w:szCs w:val="21"/>
              </w:rPr>
            </w:pP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993"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jc w:val="center"/>
              <w:rPr>
                <w:rFonts w:ascii="宋体" w:hAnsi="宋体"/>
                <w:szCs w:val="21"/>
              </w:rPr>
            </w:pPr>
          </w:p>
        </w:tc>
        <w:tc>
          <w:tcPr>
            <w:tcW w:w="850"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w:t>
            </w:r>
          </w:p>
        </w:tc>
        <w:tc>
          <w:tcPr>
            <w:tcW w:w="655" w:type="dxa"/>
            <w:tcBorders>
              <w:top w:val="nil"/>
              <w:left w:val="nil"/>
              <w:bottom w:val="single" w:sz="4" w:space="0" w:color="auto"/>
              <w:right w:val="single" w:sz="4" w:space="0" w:color="auto"/>
            </w:tcBorders>
            <w:shd w:val="clear" w:color="auto" w:fill="auto"/>
            <w:noWrap/>
            <w:vAlign w:val="center"/>
          </w:tcPr>
          <w:p w:rsidR="00E05F40" w:rsidRPr="004D4E05" w:rsidRDefault="00E42552" w:rsidP="004D4E05">
            <w:pPr>
              <w:spacing w:line="240" w:lineRule="exact"/>
              <w:ind w:firstLineChars="50" w:firstLine="105"/>
              <w:rPr>
                <w:rFonts w:ascii="宋体" w:hAnsi="宋体"/>
                <w:szCs w:val="21"/>
              </w:rPr>
            </w:pPr>
          </w:p>
        </w:tc>
        <w:tc>
          <w:tcPr>
            <w:tcW w:w="621" w:type="dxa"/>
            <w:gridSpan w:val="2"/>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2639" w:type="dxa"/>
            <w:tcBorders>
              <w:top w:val="nil"/>
              <w:left w:val="nil"/>
              <w:bottom w:val="single" w:sz="4" w:space="0" w:color="auto"/>
              <w:right w:val="single" w:sz="4" w:space="0" w:color="auto"/>
            </w:tcBorders>
            <w:shd w:val="clear" w:color="auto" w:fill="auto"/>
            <w:noWrap/>
            <w:vAlign w:val="center"/>
          </w:tcPr>
          <w:p w:rsidR="00E05F40" w:rsidRPr="004D4E05" w:rsidRDefault="002D18ED" w:rsidP="004D4E05">
            <w:pPr>
              <w:spacing w:before="156"/>
              <w:ind w:firstLine="412"/>
              <w:jc w:val="left"/>
              <w:rPr>
                <w:rFonts w:ascii="宋体" w:hAnsi="宋体"/>
                <w:szCs w:val="21"/>
              </w:rPr>
            </w:pPr>
            <w:r w:rsidRPr="004D4E05">
              <w:rPr>
                <w:rFonts w:ascii="宋体" w:hAnsi="宋体" w:hint="eastAsia"/>
                <w:szCs w:val="21"/>
              </w:rPr>
              <w:t>此次机构改革虽对我局的名称作了变更，但该文关于我局职责的相关规定与此次机构改革精神一致，不修改不影响本局有效履行职责。</w:t>
            </w:r>
          </w:p>
        </w:tc>
        <w:tc>
          <w:tcPr>
            <w:tcW w:w="1188"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r>
      <w:tr w:rsidR="008308A2" w:rsidRPr="002D18ED" w:rsidTr="004D4E05">
        <w:trPr>
          <w:cantSplit/>
        </w:trPr>
        <w:tc>
          <w:tcPr>
            <w:tcW w:w="866" w:type="dxa"/>
            <w:tcBorders>
              <w:top w:val="nil"/>
              <w:left w:val="single" w:sz="4" w:space="0" w:color="auto"/>
              <w:bottom w:val="single" w:sz="4" w:space="0" w:color="auto"/>
              <w:right w:val="single" w:sz="4" w:space="0" w:color="auto"/>
            </w:tcBorders>
            <w:shd w:val="clear" w:color="auto" w:fill="auto"/>
            <w:noWrap/>
            <w:vAlign w:val="center"/>
          </w:tcPr>
          <w:p w:rsidR="00E05F40" w:rsidRPr="004D4E05" w:rsidRDefault="002D18ED" w:rsidP="00E05F40">
            <w:pPr>
              <w:spacing w:line="240" w:lineRule="exact"/>
              <w:jc w:val="center"/>
              <w:rPr>
                <w:rFonts w:ascii="宋体" w:hAnsi="宋体"/>
                <w:szCs w:val="21"/>
              </w:rPr>
            </w:pPr>
            <w:r w:rsidRPr="004D4E05">
              <w:rPr>
                <w:rFonts w:ascii="宋体" w:hAnsi="宋体"/>
                <w:szCs w:val="21"/>
              </w:rPr>
              <w:t>6</w:t>
            </w:r>
          </w:p>
        </w:tc>
        <w:tc>
          <w:tcPr>
            <w:tcW w:w="2693"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460" w:lineRule="exact"/>
              <w:jc w:val="center"/>
              <w:rPr>
                <w:rFonts w:ascii="宋体" w:hAnsi="宋体"/>
                <w:szCs w:val="21"/>
              </w:rPr>
            </w:pPr>
            <w:r w:rsidRPr="004D4E05">
              <w:rPr>
                <w:rFonts w:ascii="宋体" w:hAnsi="宋体" w:hint="eastAsia"/>
                <w:szCs w:val="21"/>
              </w:rPr>
              <w:t>《关于印发江门市水务局贯彻</w:t>
            </w:r>
            <w:r w:rsidRPr="004D4E05">
              <w:rPr>
                <w:rFonts w:ascii="宋体" w:hAnsi="宋体"/>
                <w:szCs w:val="21"/>
              </w:rPr>
              <w:t>&lt;</w:t>
            </w:r>
            <w:r w:rsidRPr="004D4E05">
              <w:rPr>
                <w:rFonts w:ascii="宋体" w:hAnsi="宋体" w:hint="eastAsia"/>
                <w:szCs w:val="21"/>
              </w:rPr>
              <w:t>广东省河道采砂管理条例实施意见</w:t>
            </w:r>
            <w:r w:rsidRPr="004D4E05">
              <w:rPr>
                <w:rFonts w:ascii="宋体" w:hAnsi="宋体"/>
                <w:szCs w:val="21"/>
              </w:rPr>
              <w:t>&gt;</w:t>
            </w:r>
            <w:r w:rsidRPr="004D4E05">
              <w:rPr>
                <w:rFonts w:ascii="宋体" w:hAnsi="宋体" w:hint="eastAsia"/>
                <w:szCs w:val="21"/>
              </w:rPr>
              <w:t>的通知》（</w:t>
            </w:r>
            <w:proofErr w:type="gramStart"/>
            <w:r w:rsidRPr="004D4E05">
              <w:rPr>
                <w:rFonts w:ascii="宋体" w:hAnsi="宋体" w:hint="eastAsia"/>
                <w:szCs w:val="21"/>
              </w:rPr>
              <w:t>江水建</w:t>
            </w:r>
            <w:proofErr w:type="gramEnd"/>
            <w:r w:rsidRPr="004D4E05">
              <w:rPr>
                <w:rFonts w:ascii="宋体" w:hAnsi="宋体" w:hint="eastAsia"/>
                <w:szCs w:val="21"/>
              </w:rPr>
              <w:t>管</w:t>
            </w:r>
            <w:r w:rsidRPr="004D4E05">
              <w:rPr>
                <w:rFonts w:ascii="宋体" w:hAnsi="宋体"/>
                <w:szCs w:val="21"/>
              </w:rPr>
              <w:t>[2013]157</w:t>
            </w:r>
            <w:r w:rsidRPr="004D4E05">
              <w:rPr>
                <w:rFonts w:ascii="宋体" w:hAnsi="宋体" w:hint="eastAsia"/>
                <w:szCs w:val="21"/>
              </w:rPr>
              <w:t>号）</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993"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jc w:val="center"/>
              <w:rPr>
                <w:rFonts w:ascii="宋体" w:hAnsi="宋体"/>
                <w:szCs w:val="21"/>
              </w:rPr>
            </w:pPr>
          </w:p>
        </w:tc>
        <w:tc>
          <w:tcPr>
            <w:tcW w:w="850"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w:t>
            </w:r>
          </w:p>
        </w:tc>
        <w:tc>
          <w:tcPr>
            <w:tcW w:w="709" w:type="dxa"/>
            <w:tcBorders>
              <w:top w:val="nil"/>
              <w:left w:val="nil"/>
              <w:bottom w:val="single" w:sz="4" w:space="0" w:color="auto"/>
              <w:right w:val="single" w:sz="4" w:space="0" w:color="auto"/>
            </w:tcBorders>
            <w:shd w:val="clear" w:color="auto" w:fill="auto"/>
            <w:noWrap/>
            <w:vAlign w:val="center"/>
          </w:tcPr>
          <w:p w:rsidR="00E05F40" w:rsidRPr="004D4E05" w:rsidRDefault="002D18ED" w:rsidP="00E05F40">
            <w:pPr>
              <w:spacing w:line="240" w:lineRule="exact"/>
              <w:rPr>
                <w:rFonts w:ascii="宋体" w:hAnsi="宋体"/>
                <w:szCs w:val="21"/>
              </w:rPr>
            </w:pPr>
            <w:r w:rsidRPr="004D4E05">
              <w:rPr>
                <w:rFonts w:ascii="宋体" w:hAnsi="宋体" w:hint="eastAsia"/>
                <w:szCs w:val="21"/>
              </w:rPr>
              <w:t>√</w:t>
            </w:r>
          </w:p>
        </w:tc>
        <w:tc>
          <w:tcPr>
            <w:tcW w:w="655" w:type="dxa"/>
            <w:tcBorders>
              <w:top w:val="nil"/>
              <w:left w:val="nil"/>
              <w:bottom w:val="single" w:sz="4" w:space="0" w:color="auto"/>
              <w:right w:val="single" w:sz="4" w:space="0" w:color="auto"/>
            </w:tcBorders>
            <w:shd w:val="clear" w:color="auto" w:fill="auto"/>
            <w:noWrap/>
            <w:vAlign w:val="center"/>
          </w:tcPr>
          <w:p w:rsidR="00E05F40" w:rsidRPr="004D4E05" w:rsidRDefault="00E42552" w:rsidP="004D4E05">
            <w:pPr>
              <w:spacing w:line="240" w:lineRule="exact"/>
              <w:ind w:firstLineChars="50" w:firstLine="105"/>
              <w:rPr>
                <w:rFonts w:ascii="宋体" w:hAnsi="宋体"/>
                <w:szCs w:val="21"/>
              </w:rPr>
            </w:pPr>
          </w:p>
        </w:tc>
        <w:tc>
          <w:tcPr>
            <w:tcW w:w="621" w:type="dxa"/>
            <w:gridSpan w:val="2"/>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c>
          <w:tcPr>
            <w:tcW w:w="2639" w:type="dxa"/>
            <w:tcBorders>
              <w:top w:val="nil"/>
              <w:left w:val="nil"/>
              <w:bottom w:val="single" w:sz="4" w:space="0" w:color="auto"/>
              <w:right w:val="single" w:sz="4" w:space="0" w:color="auto"/>
            </w:tcBorders>
            <w:shd w:val="clear" w:color="auto" w:fill="auto"/>
            <w:noWrap/>
            <w:vAlign w:val="center"/>
          </w:tcPr>
          <w:p w:rsidR="00E05F40" w:rsidRPr="004D4E05" w:rsidRDefault="002D18ED" w:rsidP="004D4E05">
            <w:pPr>
              <w:spacing w:beforeLines="50" w:before="156"/>
              <w:rPr>
                <w:rFonts w:ascii="宋体" w:hAnsi="宋体"/>
                <w:szCs w:val="21"/>
              </w:rPr>
            </w:pPr>
            <w:r w:rsidRPr="004D4E05">
              <w:rPr>
                <w:rFonts w:ascii="宋体" w:hAnsi="宋体" w:hint="eastAsia"/>
                <w:szCs w:val="21"/>
              </w:rPr>
              <w:t>此次机构改革虽对我局的名称作了变更，但该文关于我局职责的相关规定与此次机构改革精神一致，不修改不影响本局有效履行职责。</w:t>
            </w:r>
          </w:p>
        </w:tc>
        <w:tc>
          <w:tcPr>
            <w:tcW w:w="1188" w:type="dxa"/>
            <w:tcBorders>
              <w:top w:val="nil"/>
              <w:left w:val="nil"/>
              <w:bottom w:val="single" w:sz="4" w:space="0" w:color="auto"/>
              <w:right w:val="single" w:sz="4" w:space="0" w:color="auto"/>
            </w:tcBorders>
            <w:shd w:val="clear" w:color="auto" w:fill="auto"/>
            <w:noWrap/>
            <w:vAlign w:val="center"/>
          </w:tcPr>
          <w:p w:rsidR="00E05F40" w:rsidRPr="004D4E05" w:rsidRDefault="00E42552" w:rsidP="00E05F40">
            <w:pPr>
              <w:spacing w:line="240" w:lineRule="exact"/>
              <w:rPr>
                <w:rFonts w:ascii="宋体" w:hAnsi="宋体"/>
                <w:szCs w:val="21"/>
              </w:rPr>
            </w:pPr>
          </w:p>
        </w:tc>
      </w:tr>
    </w:tbl>
    <w:p w:rsidR="00E05F40" w:rsidRDefault="00E42552" w:rsidP="004D4E05">
      <w:pPr>
        <w:spacing w:line="580" w:lineRule="exact"/>
      </w:pPr>
    </w:p>
    <w:sectPr w:rsidR="00E05F40" w:rsidSect="004D4E05">
      <w:pgSz w:w="16838" w:h="11906" w:orient="landscape"/>
      <w:pgMar w:top="1800" w:right="1440" w:bottom="1800" w:left="1440" w:header="851" w:footer="992" w:gutter="0"/>
      <w:cols w:space="425"/>
      <w:docGrid w:type="lines" w:linePitch="312"/>
      <w:sectPrChange w:id="1" w:author="曹杏琴" w:date="2019-08-19T15:19:00Z">
        <w:sectPr w:rsidR="00E05F40" w:rsidSect="004D4E05">
          <w:pgSz w:w="11906" w:h="16838" w:orient="portrait"/>
          <w:pgMar w:top="1440" w:right="1800" w:bottom="1440" w:left="1800"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52" w:rsidRDefault="00E42552">
      <w:r>
        <w:separator/>
      </w:r>
    </w:p>
  </w:endnote>
  <w:endnote w:type="continuationSeparator" w:id="0">
    <w:p w:rsidR="00E42552" w:rsidRDefault="00E4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52" w:rsidRDefault="00E42552">
      <w:r>
        <w:separator/>
      </w:r>
    </w:p>
  </w:footnote>
  <w:footnote w:type="continuationSeparator" w:id="0">
    <w:p w:rsidR="00E42552" w:rsidRDefault="00E42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F82"/>
    <w:rsid w:val="00087F22"/>
    <w:rsid w:val="002D18ED"/>
    <w:rsid w:val="004D4E05"/>
    <w:rsid w:val="0062075A"/>
    <w:rsid w:val="008308A2"/>
    <w:rsid w:val="00A779E5"/>
    <w:rsid w:val="00DC4F82"/>
    <w:rsid w:val="00E4255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D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2FC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8F2FC5"/>
    <w:rPr>
      <w:kern w:val="2"/>
      <w:sz w:val="18"/>
      <w:szCs w:val="18"/>
    </w:rPr>
  </w:style>
  <w:style w:type="paragraph" w:styleId="a4">
    <w:name w:val="footer"/>
    <w:basedOn w:val="a"/>
    <w:link w:val="Char0"/>
    <w:rsid w:val="008F2FC5"/>
    <w:pPr>
      <w:tabs>
        <w:tab w:val="center" w:pos="4153"/>
        <w:tab w:val="right" w:pos="8306"/>
      </w:tabs>
      <w:snapToGrid w:val="0"/>
      <w:jc w:val="left"/>
    </w:pPr>
    <w:rPr>
      <w:sz w:val="18"/>
      <w:szCs w:val="18"/>
    </w:rPr>
  </w:style>
  <w:style w:type="character" w:customStyle="1" w:styleId="Char0">
    <w:name w:val="页脚 Char"/>
    <w:link w:val="a4"/>
    <w:rsid w:val="008F2FC5"/>
    <w:rPr>
      <w:kern w:val="2"/>
      <w:sz w:val="18"/>
      <w:szCs w:val="18"/>
    </w:rPr>
  </w:style>
  <w:style w:type="paragraph" w:styleId="a5">
    <w:name w:val="Balloon Text"/>
    <w:basedOn w:val="a"/>
    <w:link w:val="Char1"/>
    <w:rsid w:val="00441011"/>
    <w:rPr>
      <w:sz w:val="18"/>
      <w:szCs w:val="18"/>
    </w:rPr>
  </w:style>
  <w:style w:type="character" w:customStyle="1" w:styleId="Char1">
    <w:name w:val="批注框文本 Char"/>
    <w:link w:val="a5"/>
    <w:rsid w:val="0044101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88C6-D6B3-49EF-A000-352AE48C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苏凤君</dc:creator>
  <cp:lastModifiedBy>曹杏琴</cp:lastModifiedBy>
  <cp:revision>18</cp:revision>
  <cp:lastPrinted>2019-08-19T07:19:00Z</cp:lastPrinted>
  <dcterms:created xsi:type="dcterms:W3CDTF">2019-08-19T06:52:00Z</dcterms:created>
  <dcterms:modified xsi:type="dcterms:W3CDTF">2019-08-19T07:19:00Z</dcterms:modified>
</cp:coreProperties>
</file>