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beforeLines="50" w:afterLines="100"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江门市食品用玻璃制品</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keepNext w:val="0"/>
        <w:keepLines w:val="0"/>
        <w:pageBreakBefore w:val="0"/>
        <w:widowControl w:val="0"/>
        <w:kinsoku/>
        <w:wordWrap/>
        <w:overflowPunct/>
        <w:topLinePunct w:val="0"/>
        <w:autoSpaceDE/>
        <w:autoSpaceDN/>
        <w:bidi w:val="0"/>
        <w:spacing w:line="360" w:lineRule="auto"/>
        <w:ind w:firstLine="420" w:firstLineChars="200"/>
        <w:rPr>
          <w:rFonts w:ascii="仿宋_GB2312" w:hAnsi="仿宋_GB2312" w:eastAsia="仿宋_GB2312" w:cs="仿宋_GB2312"/>
          <w:sz w:val="28"/>
          <w:szCs w:val="28"/>
        </w:rPr>
      </w:pPr>
      <w:r>
        <w:rPr>
          <w:rFonts w:hint="eastAsia" w:ascii="宋体" w:hAnsi="宋体"/>
          <w:color w:val="000000"/>
          <w:szCs w:val="21"/>
        </w:rPr>
        <w:t>本细则适用于江门市生产环节中食品用玻璃制品的市级监督抽查。</w:t>
      </w:r>
    </w:p>
    <w:p>
      <w:pPr>
        <w:keepNext w:val="0"/>
        <w:keepLines w:val="0"/>
        <w:pageBreakBefore w:val="0"/>
        <w:widowControl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widowControl w:val="0"/>
        <w:kinsoku/>
        <w:wordWrap/>
        <w:overflowPunct/>
        <w:topLinePunct w:val="0"/>
        <w:autoSpaceDE/>
        <w:autoSpaceDN/>
        <w:bidi w:val="0"/>
        <w:snapToGrid w:val="0"/>
        <w:spacing w:line="360" w:lineRule="auto"/>
        <w:rPr>
          <w:b/>
          <w:color w:val="000000"/>
          <w:sz w:val="24"/>
        </w:rPr>
      </w:pPr>
      <w:r>
        <w:rPr>
          <w:rFonts w:hint="eastAsia"/>
          <w:b/>
          <w:color w:val="000000"/>
          <w:sz w:val="24"/>
        </w:rPr>
        <w:t>1、抽样方法</w:t>
      </w:r>
    </w:p>
    <w:p>
      <w:pPr>
        <w:keepNext w:val="0"/>
        <w:keepLines w:val="0"/>
        <w:pageBreakBefore w:val="0"/>
        <w:widowControl w:val="0"/>
        <w:kinsoku/>
        <w:wordWrap/>
        <w:overflowPunct/>
        <w:topLinePunct w:val="0"/>
        <w:autoSpaceDE/>
        <w:autoSpaceDN/>
        <w:bidi w:val="0"/>
        <w:snapToGrid w:val="0"/>
        <w:spacing w:line="360" w:lineRule="auto"/>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keepNext w:val="0"/>
        <w:keepLines w:val="0"/>
        <w:pageBreakBefore w:val="0"/>
        <w:widowControl w:val="0"/>
        <w:kinsoku/>
        <w:wordWrap/>
        <w:overflowPunct/>
        <w:topLinePunct w:val="0"/>
        <w:autoSpaceDE/>
        <w:autoSpaceDN/>
        <w:bidi w:val="0"/>
        <w:spacing w:line="360" w:lineRule="auto"/>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keepNext w:val="0"/>
        <w:keepLines w:val="0"/>
        <w:pageBreakBefore w:val="0"/>
        <w:widowControl w:val="0"/>
        <w:kinsoku/>
        <w:wordWrap/>
        <w:overflowPunct/>
        <w:topLinePunct w:val="0"/>
        <w:autoSpaceDE/>
        <w:autoSpaceDN/>
        <w:bidi w:val="0"/>
        <w:spacing w:line="360" w:lineRule="auto"/>
        <w:ind w:firstLine="420" w:firstLineChars="200"/>
        <w:rPr>
          <w:rFonts w:ascii="仿宋_GB2312" w:hAnsi="仿宋_GB2312" w:eastAsia="仿宋_GB2312" w:cs="仿宋_GB2312"/>
          <w:sz w:val="28"/>
          <w:szCs w:val="28"/>
        </w:rPr>
      </w:pPr>
      <w:r>
        <w:rPr>
          <w:rFonts w:hint="eastAsia" w:ascii="宋体" w:hAnsi="宋体"/>
          <w:color w:val="000000"/>
          <w:szCs w:val="21"/>
        </w:rPr>
        <w:t>食品接触用玻璃制品：样品不少于9件，6件作为检验样品，3件作为复检备用样品，小件样品需适当增加抽样数量，以满足检验需要。</w:t>
      </w:r>
    </w:p>
    <w:p>
      <w:pPr>
        <w:keepNext w:val="0"/>
        <w:keepLines w:val="0"/>
        <w:pageBreakBefore w:val="0"/>
        <w:widowControl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widowControl w:val="0"/>
        <w:kinsoku/>
        <w:wordWrap/>
        <w:overflowPunct/>
        <w:topLinePunct w:val="0"/>
        <w:autoSpaceDE/>
        <w:autoSpaceDN/>
        <w:bidi w:val="0"/>
        <w:snapToGrid w:val="0"/>
        <w:spacing w:line="360" w:lineRule="auto"/>
        <w:rPr>
          <w:b/>
          <w:color w:val="000000"/>
          <w:sz w:val="24"/>
        </w:rPr>
      </w:pPr>
      <w:bookmarkStart w:id="0" w:name="_GoBack"/>
      <w:bookmarkEnd w:id="0"/>
      <w:r>
        <w:rPr>
          <w:rFonts w:hint="eastAsia"/>
          <w:b/>
          <w:color w:val="000000"/>
          <w:sz w:val="24"/>
        </w:rPr>
        <w:t>2、检验依据</w:t>
      </w:r>
    </w:p>
    <w:p>
      <w:pPr>
        <w:keepNext w:val="0"/>
        <w:keepLines w:val="0"/>
        <w:pageBreakBefore w:val="0"/>
        <w:widowControl w:val="0"/>
        <w:kinsoku/>
        <w:wordWrap/>
        <w:overflowPunct/>
        <w:topLinePunct w:val="0"/>
        <w:autoSpaceDE/>
        <w:autoSpaceDN/>
        <w:bidi w:val="0"/>
        <w:snapToGrid w:val="0"/>
        <w:spacing w:line="360" w:lineRule="auto"/>
        <w:ind w:firstLine="420" w:firstLineChars="200"/>
        <w:jc w:val="center"/>
        <w:rPr>
          <w:color w:val="000000"/>
          <w:szCs w:val="21"/>
        </w:rPr>
      </w:pPr>
      <w:r>
        <w:rPr>
          <w:rFonts w:hint="eastAsia"/>
          <w:color w:val="000000"/>
          <w:szCs w:val="21"/>
        </w:rPr>
        <w:t>表1  食品接触用玻璃制品检验项目</w:t>
      </w:r>
    </w:p>
    <w:tbl>
      <w:tblPr>
        <w:tblStyle w:val="4"/>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序号</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检验项目</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检验依据</w:t>
            </w:r>
          </w:p>
        </w:tc>
        <w:tc>
          <w:tcPr>
            <w:tcW w:w="2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center"/>
              <w:rPr>
                <w:rFonts w:cs="宋体"/>
                <w:szCs w:val="21"/>
              </w:rPr>
            </w:pPr>
            <w:r>
              <w:rPr>
                <w:rFonts w:hint="eastAsia" w:cs="宋体"/>
                <w:szCs w:val="21"/>
              </w:rPr>
              <w:t>1</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center"/>
              <w:rPr>
                <w:rFonts w:cs="宋体"/>
                <w:szCs w:val="21"/>
              </w:rPr>
            </w:pPr>
            <w:r>
              <w:rPr>
                <w:rFonts w:hint="eastAsia" w:cs="宋体"/>
                <w:szCs w:val="21"/>
              </w:rPr>
              <w:t>感官要求</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4806.5</w:t>
            </w:r>
          </w:p>
        </w:tc>
        <w:tc>
          <w:tcPr>
            <w:tcW w:w="2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center"/>
              <w:rPr>
                <w:rFonts w:cs="宋体"/>
                <w:szCs w:val="21"/>
              </w:rPr>
            </w:pPr>
            <w:r>
              <w:rPr>
                <w:rFonts w:hint="eastAsia" w:cs="宋体"/>
                <w:szCs w:val="21"/>
              </w:rPr>
              <w:t>GB 4806.5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center"/>
              <w:rPr>
                <w:rFonts w:cs="宋体"/>
                <w:szCs w:val="21"/>
              </w:rPr>
            </w:pPr>
            <w:r>
              <w:rPr>
                <w:rFonts w:hint="eastAsia" w:cs="宋体"/>
                <w:szCs w:val="21"/>
              </w:rPr>
              <w:t>2</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rPr>
                <w:rFonts w:cs="宋体"/>
                <w:szCs w:val="21"/>
              </w:rPr>
            </w:pPr>
            <w:r>
              <w:rPr>
                <w:rFonts w:hint="eastAsia" w:cs="宋体"/>
                <w:szCs w:val="21"/>
              </w:rPr>
              <w:t>铅（Pb）</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rPr>
                <w:rFonts w:cs="宋体"/>
                <w:szCs w:val="21"/>
              </w:rPr>
            </w:pPr>
            <w:r>
              <w:rPr>
                <w:rFonts w:hint="eastAsia" w:cs="宋体"/>
                <w:szCs w:val="21"/>
              </w:rPr>
              <w:t>GB 4806.5</w:t>
            </w:r>
          </w:p>
        </w:tc>
        <w:tc>
          <w:tcPr>
            <w:tcW w:w="2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rPr>
                <w:rFonts w:cs="宋体"/>
                <w:szCs w:val="21"/>
              </w:rPr>
            </w:pPr>
            <w:r>
              <w:rPr>
                <w:rFonts w:hint="eastAsia" w:cs="宋体"/>
                <w:szCs w:val="21"/>
              </w:rPr>
              <w:t>GB 31604.34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center"/>
              <w:rPr>
                <w:rFonts w:cs="宋体"/>
                <w:szCs w:val="21"/>
              </w:rPr>
            </w:pPr>
            <w:r>
              <w:rPr>
                <w:rFonts w:hint="eastAsia" w:cs="宋体"/>
                <w:szCs w:val="21"/>
              </w:rPr>
              <w:t>3</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rPr>
                <w:rFonts w:cs="宋体"/>
                <w:szCs w:val="21"/>
              </w:rPr>
            </w:pPr>
            <w:r>
              <w:rPr>
                <w:rFonts w:hint="eastAsia" w:cs="宋体"/>
                <w:szCs w:val="21"/>
              </w:rPr>
              <w:t>镉（Cd）</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rPr>
                <w:rFonts w:cs="宋体"/>
                <w:szCs w:val="21"/>
              </w:rPr>
            </w:pPr>
            <w:r>
              <w:rPr>
                <w:rFonts w:hint="eastAsia" w:cs="宋体"/>
                <w:szCs w:val="21"/>
              </w:rPr>
              <w:t>GB 4806.5</w:t>
            </w:r>
          </w:p>
        </w:tc>
        <w:tc>
          <w:tcPr>
            <w:tcW w:w="2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360" w:lineRule="auto"/>
              <w:jc w:val="center"/>
              <w:rPr>
                <w:rFonts w:cs="宋体"/>
                <w:szCs w:val="21"/>
              </w:rPr>
            </w:pPr>
            <w:r>
              <w:rPr>
                <w:rFonts w:hint="eastAsia" w:cs="宋体"/>
                <w:szCs w:val="21"/>
              </w:rPr>
              <w:t>GB 31604.24</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color w:val="000000"/>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360" w:lineRule="auto"/>
        <w:rPr>
          <w:rFonts w:hint="eastAsia"/>
          <w:b/>
          <w:color w:val="000000"/>
          <w:sz w:val="24"/>
        </w:rPr>
      </w:pPr>
    </w:p>
    <w:p>
      <w:pPr>
        <w:keepNext w:val="0"/>
        <w:keepLines w:val="0"/>
        <w:pageBreakBefore w:val="0"/>
        <w:widowControl w:val="0"/>
        <w:kinsoku/>
        <w:wordWrap/>
        <w:overflowPunct/>
        <w:topLinePunct w:val="0"/>
        <w:autoSpaceDE/>
        <w:autoSpaceDN/>
        <w:bidi w:val="0"/>
        <w:snapToGrid w:val="0"/>
        <w:spacing w:line="360" w:lineRule="auto"/>
        <w:rPr>
          <w:b/>
          <w:color w:val="000000"/>
          <w:sz w:val="24"/>
        </w:rPr>
      </w:pPr>
      <w:r>
        <w:rPr>
          <w:rFonts w:hint="eastAsia"/>
          <w:b/>
          <w:color w:val="000000"/>
          <w:sz w:val="24"/>
        </w:rPr>
        <w:t>3、判定规则</w:t>
      </w:r>
    </w:p>
    <w:p>
      <w:pPr>
        <w:keepNext w:val="0"/>
        <w:keepLines w:val="0"/>
        <w:pageBreakBefore w:val="0"/>
        <w:widowControl w:val="0"/>
        <w:kinsoku/>
        <w:wordWrap/>
        <w:overflowPunct/>
        <w:topLinePunct w:val="0"/>
        <w:autoSpaceDE/>
        <w:autoSpaceDN/>
        <w:bidi w:val="0"/>
        <w:snapToGrid w:val="0"/>
        <w:spacing w:line="360" w:lineRule="auto"/>
        <w:rPr>
          <w:rFonts w:ascii="宋体" w:hAnsi="宋体"/>
          <w:color w:val="000000"/>
          <w:szCs w:val="21"/>
        </w:rPr>
      </w:pPr>
      <w:r>
        <w:rPr>
          <w:rFonts w:hint="eastAsia" w:ascii="宋体" w:hAnsi="宋体"/>
          <w:color w:val="000000"/>
          <w:szCs w:val="21"/>
        </w:rPr>
        <w:t>3.1 依据标准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hint="eastAsia"/>
          <w:color w:val="000000"/>
          <w:szCs w:val="21"/>
        </w:rPr>
      </w:pPr>
      <w:r>
        <w:rPr>
          <w:rFonts w:hint="eastAsia"/>
          <w:color w:val="000000"/>
          <w:szCs w:val="21"/>
        </w:rPr>
        <w:t>GB 4806.5-2016《食品安全国家标准 玻璃制品》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hint="eastAsia"/>
          <w:color w:val="000000"/>
          <w:szCs w:val="21"/>
        </w:rPr>
      </w:pPr>
      <w:r>
        <w:rPr>
          <w:rFonts w:hint="eastAsia"/>
          <w:color w:val="000000"/>
          <w:szCs w:val="21"/>
        </w:rPr>
        <w:t>GB 31604.34-2016《食品安全国家标准 食品接触材料及制品 铅的测定及迁移量的测定》</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hint="eastAsia"/>
          <w:color w:val="000000"/>
          <w:szCs w:val="21"/>
        </w:rPr>
      </w:pPr>
      <w:r>
        <w:rPr>
          <w:rFonts w:hint="eastAsia"/>
          <w:color w:val="000000"/>
          <w:szCs w:val="21"/>
        </w:rPr>
        <w:t>GB 31604.24-2016《食品安全国家标准 食品接触材料及制品 镉迁移量的测定》</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hint="eastAsia"/>
          <w:color w:val="000000"/>
          <w:szCs w:val="21"/>
        </w:rPr>
      </w:pPr>
      <w:r>
        <w:rPr>
          <w:rFonts w:hint="eastAsia"/>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360" w:lineRule="auto"/>
        <w:outlineLvl w:val="0"/>
        <w:rPr>
          <w:rFonts w:ascii="宋体" w:hAnsi="宋体"/>
          <w:color w:val="000000"/>
          <w:szCs w:val="21"/>
        </w:rPr>
      </w:pPr>
      <w:r>
        <w:rPr>
          <w:rFonts w:hint="eastAsia" w:ascii="宋体" w:hAnsi="宋体"/>
          <w:color w:val="000000"/>
          <w:szCs w:val="21"/>
        </w:rPr>
        <w:t>3.2判定原则</w:t>
      </w:r>
    </w:p>
    <w:p>
      <w:pPr>
        <w:keepNext w:val="0"/>
        <w:keepLines w:val="0"/>
        <w:pageBreakBefore w:val="0"/>
        <w:widowControl w:val="0"/>
        <w:kinsoku/>
        <w:wordWrap/>
        <w:overflowPunct/>
        <w:topLinePunct w:val="0"/>
        <w:autoSpaceDE/>
        <w:autoSpaceDN/>
        <w:bidi w:val="0"/>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8048373"/>
      <w:docPartObj>
        <w:docPartGallery w:val="autotext"/>
      </w:docPartObj>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01BD"/>
    <w:rsid w:val="000D0CDE"/>
    <w:rsid w:val="002202C9"/>
    <w:rsid w:val="002930C7"/>
    <w:rsid w:val="004D2989"/>
    <w:rsid w:val="004F191E"/>
    <w:rsid w:val="00502EB5"/>
    <w:rsid w:val="00596DF9"/>
    <w:rsid w:val="00960EA4"/>
    <w:rsid w:val="00B551A1"/>
    <w:rsid w:val="00C001BD"/>
    <w:rsid w:val="00DC4B8D"/>
    <w:rsid w:val="00DD2567"/>
    <w:rsid w:val="00F07ED6"/>
    <w:rsid w:val="00F5784F"/>
    <w:rsid w:val="521D1C2F"/>
    <w:rsid w:val="728D0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143</Words>
  <Characters>820</Characters>
  <Lines>6</Lines>
  <Paragraphs>1</Paragraphs>
  <TotalTime>0</TotalTime>
  <ScaleCrop>false</ScaleCrop>
  <LinksUpToDate>false</LinksUpToDate>
  <CharactersWithSpaces>962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2019-07-12T00:32:00Z</dcterms:created>
  <dc:creator>陈卓辉</dc:creator>
  <cp:lastModifiedBy>陈卓辉</cp:lastModifiedBy>
  <dcterms:modified xsi:type="dcterms:W3CDTF">2021-07-12T04:51:41Z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