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江门市食品用金属制品</w:t>
      </w: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keepNext w:val="0"/>
        <w:keepLines w:val="0"/>
        <w:pageBreakBefore w:val="0"/>
        <w:widowControl/>
        <w:kinsoku/>
        <w:wordWrap/>
        <w:overflowPunct/>
        <w:topLinePunct w:val="0"/>
        <w:autoSpaceDE/>
        <w:autoSpaceDN/>
        <w:bidi w:val="0"/>
        <w:spacing w:line="360" w:lineRule="auto"/>
        <w:jc w:val="left"/>
        <w:rPr>
          <w:b/>
        </w:rPr>
      </w:pPr>
    </w:p>
    <w:p>
      <w:pPr>
        <w:keepNext w:val="0"/>
        <w:keepLines w:val="0"/>
        <w:pageBreakBefore w:val="0"/>
        <w:kinsoku/>
        <w:wordWrap/>
        <w:overflowPunct/>
        <w:topLinePunct w:val="0"/>
        <w:autoSpaceDE/>
        <w:autoSpaceDN/>
        <w:bidi w:val="0"/>
        <w:spacing w:line="360" w:lineRule="auto"/>
        <w:ind w:firstLine="420" w:firstLineChars="200"/>
        <w:rPr>
          <w:rFonts w:ascii="仿宋_GB2312" w:hAnsi="仿宋_GB2312" w:eastAsia="仿宋_GB2312" w:cs="仿宋_GB2312"/>
          <w:sz w:val="28"/>
          <w:szCs w:val="28"/>
        </w:rPr>
      </w:pPr>
      <w:r>
        <w:rPr>
          <w:rFonts w:hint="eastAsia" w:ascii="宋体" w:hAnsi="宋体"/>
          <w:color w:val="000000"/>
          <w:szCs w:val="21"/>
        </w:rPr>
        <w:t>本细则适用于江门市生产领域中食品接触用金属制品的市级监督抽查。</w:t>
      </w:r>
    </w:p>
    <w:p>
      <w:pPr>
        <w:keepNext w:val="0"/>
        <w:keepLines w:val="0"/>
        <w:pageBreakBefore w:val="0"/>
        <w:kinsoku/>
        <w:wordWrap/>
        <w:overflowPunct/>
        <w:topLinePunct w:val="0"/>
        <w:autoSpaceDE/>
        <w:autoSpaceDN/>
        <w:bidi w:val="0"/>
        <w:snapToGrid w:val="0"/>
        <w:spacing w:line="360" w:lineRule="auto"/>
        <w:rPr>
          <w:rFonts w:hint="eastAsia"/>
          <w:b/>
          <w:color w:val="000000"/>
          <w:sz w:val="24"/>
        </w:rPr>
      </w:pPr>
    </w:p>
    <w:p>
      <w:pPr>
        <w:keepNext w:val="0"/>
        <w:keepLines w:val="0"/>
        <w:pageBreakBefore w:val="0"/>
        <w:kinsoku/>
        <w:wordWrap/>
        <w:overflowPunct/>
        <w:topLinePunct w:val="0"/>
        <w:autoSpaceDE/>
        <w:autoSpaceDN/>
        <w:bidi w:val="0"/>
        <w:snapToGrid w:val="0"/>
        <w:spacing w:line="360" w:lineRule="auto"/>
        <w:rPr>
          <w:b/>
          <w:color w:val="000000"/>
          <w:sz w:val="24"/>
        </w:rPr>
      </w:pPr>
      <w:bookmarkStart w:id="0" w:name="_GoBack"/>
      <w:bookmarkEnd w:id="0"/>
      <w:r>
        <w:rPr>
          <w:rFonts w:hint="eastAsia"/>
          <w:b/>
          <w:color w:val="000000"/>
          <w:sz w:val="24"/>
        </w:rPr>
        <w:t>1 抽样方法</w:t>
      </w:r>
    </w:p>
    <w:p>
      <w:pPr>
        <w:keepNext w:val="0"/>
        <w:keepLines w:val="0"/>
        <w:pageBreakBefore w:val="0"/>
        <w:kinsoku/>
        <w:wordWrap/>
        <w:overflowPunct/>
        <w:topLinePunct w:val="0"/>
        <w:autoSpaceDE/>
        <w:autoSpaceDN/>
        <w:bidi w:val="0"/>
        <w:snapToGrid w:val="0"/>
        <w:spacing w:line="360" w:lineRule="auto"/>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keepNext w:val="0"/>
        <w:keepLines w:val="0"/>
        <w:pageBreakBefore w:val="0"/>
        <w:kinsoku/>
        <w:wordWrap/>
        <w:overflowPunct/>
        <w:topLinePunct w:val="0"/>
        <w:autoSpaceDE/>
        <w:autoSpaceDN/>
        <w:bidi w:val="0"/>
        <w:spacing w:line="360" w:lineRule="auto"/>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keepNext w:val="0"/>
        <w:keepLines w:val="0"/>
        <w:pageBreakBefore w:val="0"/>
        <w:kinsoku/>
        <w:wordWrap/>
        <w:overflowPunct/>
        <w:topLinePunct w:val="0"/>
        <w:autoSpaceDE/>
        <w:autoSpaceDN/>
        <w:bidi w:val="0"/>
        <w:spacing w:line="360" w:lineRule="auto"/>
        <w:ind w:firstLine="420" w:firstLineChars="200"/>
        <w:rPr>
          <w:rFonts w:ascii="仿宋_GB2312" w:hAnsi="仿宋_GB2312" w:eastAsia="仿宋_GB2312" w:cs="仿宋_GB2312"/>
          <w:sz w:val="28"/>
          <w:szCs w:val="28"/>
        </w:rPr>
      </w:pPr>
      <w:r>
        <w:rPr>
          <w:rFonts w:hint="eastAsia"/>
          <w:color w:val="000000"/>
          <w:szCs w:val="21"/>
        </w:rPr>
        <w:t>食品接触用金属制品</w:t>
      </w:r>
      <w:r>
        <w:rPr>
          <w:rFonts w:hint="eastAsia" w:ascii="宋体" w:hAnsi="宋体"/>
          <w:color w:val="000000"/>
          <w:szCs w:val="21"/>
        </w:rPr>
        <w:t>小样品不少于10件，8件作为检验样品，2件作为复检备用样品；大样品不少于8件，6件作为检验样品，2件作为复检备用样品。</w:t>
      </w:r>
    </w:p>
    <w:p>
      <w:pPr>
        <w:keepNext w:val="0"/>
        <w:keepLines w:val="0"/>
        <w:pageBreakBefore w:val="0"/>
        <w:kinsoku/>
        <w:wordWrap/>
        <w:overflowPunct/>
        <w:topLinePunct w:val="0"/>
        <w:autoSpaceDE/>
        <w:autoSpaceDN/>
        <w:bidi w:val="0"/>
        <w:snapToGrid w:val="0"/>
        <w:spacing w:line="360" w:lineRule="auto"/>
        <w:rPr>
          <w:rFonts w:hint="eastAsia"/>
          <w:b/>
          <w:color w:val="000000"/>
          <w:sz w:val="24"/>
        </w:rPr>
      </w:pPr>
    </w:p>
    <w:p>
      <w:pPr>
        <w:keepNext w:val="0"/>
        <w:keepLines w:val="0"/>
        <w:pageBreakBefore w:val="0"/>
        <w:kinsoku/>
        <w:wordWrap/>
        <w:overflowPunct/>
        <w:topLinePunct w:val="0"/>
        <w:autoSpaceDE/>
        <w:autoSpaceDN/>
        <w:bidi w:val="0"/>
        <w:snapToGrid w:val="0"/>
        <w:spacing w:line="360" w:lineRule="auto"/>
        <w:rPr>
          <w:b/>
          <w:color w:val="000000"/>
          <w:sz w:val="24"/>
        </w:rPr>
      </w:pPr>
      <w:r>
        <w:rPr>
          <w:rFonts w:hint="eastAsia"/>
          <w:b/>
          <w:color w:val="000000"/>
          <w:sz w:val="24"/>
        </w:rPr>
        <w:t>2 检验依据</w:t>
      </w:r>
    </w:p>
    <w:p>
      <w:pPr>
        <w:keepNext w:val="0"/>
        <w:keepLines w:val="0"/>
        <w:pageBreakBefore w:val="0"/>
        <w:kinsoku/>
        <w:wordWrap/>
        <w:overflowPunct/>
        <w:topLinePunct w:val="0"/>
        <w:autoSpaceDE/>
        <w:autoSpaceDN/>
        <w:bidi w:val="0"/>
        <w:snapToGrid w:val="0"/>
        <w:spacing w:line="360" w:lineRule="auto"/>
        <w:ind w:firstLine="420" w:firstLineChars="200"/>
        <w:jc w:val="center"/>
        <w:rPr>
          <w:color w:val="000000"/>
          <w:szCs w:val="21"/>
        </w:rPr>
      </w:pPr>
      <w:r>
        <w:rPr>
          <w:rFonts w:hint="eastAsia"/>
          <w:color w:val="000000"/>
          <w:szCs w:val="21"/>
        </w:rPr>
        <w:t>表1  食品接触用金属制品检验项目</w:t>
      </w:r>
    </w:p>
    <w:tbl>
      <w:tblPr>
        <w:tblStyle w:val="4"/>
        <w:tblW w:w="92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805"/>
        <w:gridCol w:w="1785"/>
        <w:gridCol w:w="2073"/>
        <w:gridCol w:w="1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序号</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检验项目</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检验依据</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检验方法</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1</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感官</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4806.9</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4806.9</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2</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浸泡液</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4806.9</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4806.9</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3</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砷（As）</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4806.9</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60" w:lineRule="auto"/>
              <w:ind w:left="-105" w:right="-105"/>
              <w:jc w:val="center"/>
              <w:rPr>
                <w:rFonts w:cs="宋体"/>
                <w:szCs w:val="21"/>
              </w:rPr>
            </w:pPr>
            <w:r>
              <w:rPr>
                <w:rFonts w:hint="eastAsia" w:cs="宋体"/>
                <w:szCs w:val="21"/>
              </w:rPr>
              <w:t>GB 31604.38-2016第二部分或</w:t>
            </w:r>
          </w:p>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31604.49-2016第二部分</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4</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镉（Cd）</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4806.9</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60" w:lineRule="auto"/>
              <w:ind w:left="-105" w:right="-105"/>
              <w:jc w:val="center"/>
              <w:rPr>
                <w:rFonts w:cs="宋体"/>
                <w:szCs w:val="21"/>
              </w:rPr>
            </w:pPr>
            <w:r>
              <w:rPr>
                <w:rFonts w:hint="eastAsia" w:cs="宋体"/>
                <w:szCs w:val="21"/>
              </w:rPr>
              <w:t>GB 31604.24-2016</w:t>
            </w:r>
          </w:p>
          <w:p>
            <w:pPr>
              <w:keepNext w:val="0"/>
              <w:keepLines w:val="0"/>
              <w:pageBreakBefore w:val="0"/>
              <w:kinsoku/>
              <w:wordWrap/>
              <w:overflowPunct/>
              <w:topLinePunct w:val="0"/>
              <w:autoSpaceDE/>
              <w:autoSpaceDN/>
              <w:bidi w:val="0"/>
              <w:adjustRightInd w:val="0"/>
              <w:snapToGrid w:val="0"/>
              <w:spacing w:line="360" w:lineRule="auto"/>
              <w:ind w:left="-105" w:right="-105"/>
              <w:jc w:val="center"/>
              <w:rPr>
                <w:rFonts w:cs="宋体"/>
                <w:szCs w:val="21"/>
              </w:rPr>
            </w:pPr>
            <w:r>
              <w:rPr>
                <w:rFonts w:hint="eastAsia" w:cs="宋体"/>
                <w:szCs w:val="21"/>
              </w:rPr>
              <w:t>或GB 31604.49-2016第二部分</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5</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铅（Pb）</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4806.9</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60" w:lineRule="auto"/>
              <w:ind w:left="-105" w:right="-105"/>
              <w:jc w:val="center"/>
              <w:rPr>
                <w:rFonts w:cs="宋体"/>
                <w:szCs w:val="21"/>
              </w:rPr>
            </w:pPr>
            <w:r>
              <w:rPr>
                <w:rFonts w:hint="eastAsia" w:cs="宋体"/>
                <w:szCs w:val="21"/>
              </w:rPr>
              <w:t>GB 31604.34-2016第二部分或GB 31604.49-2016第二部分</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6</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铬（Cr）</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4806.9</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60" w:lineRule="auto"/>
              <w:ind w:left="-105" w:right="-105"/>
              <w:jc w:val="center"/>
              <w:rPr>
                <w:rFonts w:cs="宋体"/>
                <w:szCs w:val="21"/>
              </w:rPr>
            </w:pPr>
            <w:r>
              <w:rPr>
                <w:rFonts w:hint="eastAsia" w:cs="宋体"/>
                <w:szCs w:val="21"/>
              </w:rPr>
              <w:t>GB31604.25-2016</w:t>
            </w:r>
          </w:p>
          <w:p>
            <w:pPr>
              <w:keepNext w:val="0"/>
              <w:keepLines w:val="0"/>
              <w:pageBreakBefore w:val="0"/>
              <w:kinsoku/>
              <w:wordWrap/>
              <w:overflowPunct/>
              <w:topLinePunct w:val="0"/>
              <w:autoSpaceDE/>
              <w:autoSpaceDN/>
              <w:bidi w:val="0"/>
              <w:adjustRightInd w:val="0"/>
              <w:snapToGrid w:val="0"/>
              <w:spacing w:line="360" w:lineRule="auto"/>
              <w:ind w:left="-105" w:right="-105"/>
              <w:jc w:val="center"/>
              <w:rPr>
                <w:rFonts w:cs="宋体"/>
                <w:szCs w:val="21"/>
              </w:rPr>
            </w:pPr>
            <w:r>
              <w:rPr>
                <w:rFonts w:hint="eastAsia" w:cs="宋体"/>
                <w:szCs w:val="21"/>
              </w:rPr>
              <w:t>或GB 31604.49-2016第二部分</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（与食品直接接触的其他金属材料及制品不检测；</w:t>
            </w:r>
            <w:r>
              <w:rPr>
                <w:rFonts w:hint="eastAsia" w:ascii="宋体" w:hAnsi="宋体" w:cs="仿宋"/>
                <w:szCs w:val="21"/>
              </w:rPr>
              <w:t>马氏体型不锈钢材料及制品不检测该指标。</w:t>
            </w: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7</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镍（Ni）</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4806.9</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60" w:lineRule="auto"/>
              <w:ind w:left="-105" w:right="-105"/>
              <w:jc w:val="center"/>
              <w:rPr>
                <w:rFonts w:cs="宋体"/>
                <w:szCs w:val="21"/>
              </w:rPr>
            </w:pPr>
            <w:r>
              <w:rPr>
                <w:rFonts w:hint="eastAsia" w:cs="宋体"/>
                <w:szCs w:val="21"/>
              </w:rPr>
              <w:t>GB31604.33-2016</w:t>
            </w:r>
          </w:p>
          <w:p>
            <w:pPr>
              <w:keepNext w:val="0"/>
              <w:keepLines w:val="0"/>
              <w:pageBreakBefore w:val="0"/>
              <w:kinsoku/>
              <w:wordWrap/>
              <w:overflowPunct/>
              <w:topLinePunct w:val="0"/>
              <w:autoSpaceDE/>
              <w:autoSpaceDN/>
              <w:bidi w:val="0"/>
              <w:adjustRightInd w:val="0"/>
              <w:snapToGrid w:val="0"/>
              <w:spacing w:line="360" w:lineRule="auto"/>
              <w:ind w:left="-105" w:right="-105"/>
              <w:jc w:val="center"/>
              <w:rPr>
                <w:rFonts w:cs="宋体"/>
                <w:szCs w:val="21"/>
              </w:rPr>
            </w:pPr>
            <w:r>
              <w:rPr>
                <w:rFonts w:hint="eastAsia" w:cs="宋体"/>
                <w:szCs w:val="21"/>
              </w:rPr>
              <w:t>或GB 31604.49-2016第二部分</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cs="宋体"/>
                <w:szCs w:val="21"/>
              </w:rPr>
            </w:pPr>
            <w:r>
              <w:rPr>
                <w:rFonts w:hint="eastAsia" w:cs="宋体"/>
                <w:szCs w:val="21"/>
              </w:rPr>
              <w:t>（与食品直接接触的其他金属材料及制品不检测）</w:t>
            </w:r>
          </w:p>
        </w:tc>
      </w:tr>
    </w:tbl>
    <w:p>
      <w:pPr>
        <w:keepNext w:val="0"/>
        <w:keepLines w:val="0"/>
        <w:pageBreakBefore w:val="0"/>
        <w:kinsoku/>
        <w:wordWrap/>
        <w:overflowPunct/>
        <w:topLinePunct w:val="0"/>
        <w:autoSpaceDE/>
        <w:autoSpaceDN/>
        <w:bidi w:val="0"/>
        <w:adjustRightInd w:val="0"/>
        <w:snapToGrid w:val="0"/>
        <w:spacing w:line="360" w:lineRule="auto"/>
        <w:ind w:firstLine="420" w:firstLineChars="200"/>
        <w:rPr>
          <w:color w:val="000000"/>
          <w:szCs w:val="21"/>
        </w:rPr>
      </w:pPr>
      <w:r>
        <w:rPr>
          <w:rFonts w:hint="eastAsia"/>
          <w:color w:val="000000"/>
          <w:szCs w:val="21"/>
        </w:rPr>
        <w:t>执行企业标准、团体标准、地方标准的产品，检验项目参照上述内容执行。</w:t>
      </w:r>
    </w:p>
    <w:p>
      <w:pPr>
        <w:keepNext w:val="0"/>
        <w:keepLines w:val="0"/>
        <w:pageBreakBefore w:val="0"/>
        <w:kinsoku/>
        <w:wordWrap/>
        <w:overflowPunct/>
        <w:topLinePunct w:val="0"/>
        <w:autoSpaceDE/>
        <w:autoSpaceDN/>
        <w:bidi w:val="0"/>
        <w:adjustRightInd w:val="0"/>
        <w:snapToGrid w:val="0"/>
        <w:spacing w:line="360" w:lineRule="auto"/>
        <w:ind w:firstLine="420" w:firstLineChars="200"/>
        <w:rPr>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snapToGrid w:val="0"/>
        <w:spacing w:line="360" w:lineRule="auto"/>
        <w:rPr>
          <w:rFonts w:hint="eastAsia"/>
          <w:b/>
          <w:color w:val="000000"/>
          <w:sz w:val="24"/>
        </w:rPr>
      </w:pPr>
    </w:p>
    <w:p>
      <w:pPr>
        <w:keepNext w:val="0"/>
        <w:keepLines w:val="0"/>
        <w:pageBreakBefore w:val="0"/>
        <w:kinsoku/>
        <w:wordWrap/>
        <w:overflowPunct/>
        <w:topLinePunct w:val="0"/>
        <w:autoSpaceDE/>
        <w:autoSpaceDN/>
        <w:bidi w:val="0"/>
        <w:snapToGrid w:val="0"/>
        <w:spacing w:line="360" w:lineRule="auto"/>
        <w:rPr>
          <w:b/>
          <w:color w:val="000000"/>
          <w:sz w:val="24"/>
        </w:rPr>
      </w:pPr>
      <w:r>
        <w:rPr>
          <w:rFonts w:hint="eastAsia"/>
          <w:b/>
          <w:color w:val="000000"/>
          <w:sz w:val="24"/>
        </w:rPr>
        <w:t>3、判定规则</w:t>
      </w:r>
    </w:p>
    <w:p>
      <w:pPr>
        <w:keepNext w:val="0"/>
        <w:keepLines w:val="0"/>
        <w:pageBreakBefore w:val="0"/>
        <w:kinsoku/>
        <w:wordWrap/>
        <w:overflowPunct/>
        <w:topLinePunct w:val="0"/>
        <w:autoSpaceDE/>
        <w:autoSpaceDN/>
        <w:bidi w:val="0"/>
        <w:snapToGrid w:val="0"/>
        <w:spacing w:line="360" w:lineRule="auto"/>
        <w:rPr>
          <w:rFonts w:ascii="宋体" w:hAnsi="宋体"/>
          <w:color w:val="000000"/>
          <w:szCs w:val="21"/>
        </w:rPr>
      </w:pPr>
      <w:r>
        <w:rPr>
          <w:rFonts w:hint="eastAsia" w:ascii="宋体" w:hAnsi="宋体"/>
          <w:color w:val="000000"/>
          <w:szCs w:val="21"/>
        </w:rPr>
        <w:t>3.1 依据标准</w:t>
      </w:r>
    </w:p>
    <w:p>
      <w:pPr>
        <w:keepNext w:val="0"/>
        <w:keepLines w:val="0"/>
        <w:pageBreakBefore w:val="0"/>
        <w:kinsoku/>
        <w:wordWrap/>
        <w:overflowPunct/>
        <w:topLinePunct w:val="0"/>
        <w:autoSpaceDE/>
        <w:autoSpaceDN/>
        <w:bidi w:val="0"/>
        <w:spacing w:line="360" w:lineRule="auto"/>
        <w:ind w:firstLine="420" w:firstLineChars="200"/>
        <w:rPr>
          <w:rFonts w:ascii="宋体" w:hAnsi="宋体"/>
          <w:color w:val="000000"/>
          <w:szCs w:val="21"/>
        </w:rPr>
      </w:pPr>
      <w:r>
        <w:rPr>
          <w:rFonts w:hint="eastAsia" w:ascii="宋体" w:hAnsi="宋体"/>
          <w:color w:val="000000"/>
          <w:szCs w:val="21"/>
        </w:rPr>
        <w:t>GB 4806.9-2016   食品安全国家标准 食品接触用金属材料及制品</w:t>
      </w:r>
    </w:p>
    <w:p>
      <w:pPr>
        <w:keepNext w:val="0"/>
        <w:keepLines w:val="0"/>
        <w:pageBreakBefore w:val="0"/>
        <w:kinsoku/>
        <w:wordWrap/>
        <w:overflowPunct/>
        <w:topLinePunct w:val="0"/>
        <w:autoSpaceDE/>
        <w:autoSpaceDN/>
        <w:bidi w:val="0"/>
        <w:snapToGrid w:val="0"/>
        <w:spacing w:line="360" w:lineRule="auto"/>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keepNext w:val="0"/>
        <w:keepLines w:val="0"/>
        <w:pageBreakBefore w:val="0"/>
        <w:kinsoku/>
        <w:wordWrap/>
        <w:overflowPunct/>
        <w:topLinePunct w:val="0"/>
        <w:autoSpaceDE/>
        <w:autoSpaceDN/>
        <w:bidi w:val="0"/>
        <w:snapToGrid w:val="0"/>
        <w:spacing w:line="360" w:lineRule="auto"/>
        <w:outlineLvl w:val="0"/>
        <w:rPr>
          <w:rFonts w:ascii="宋体" w:hAnsi="宋体"/>
          <w:color w:val="000000"/>
          <w:szCs w:val="21"/>
        </w:rPr>
      </w:pPr>
      <w:r>
        <w:rPr>
          <w:rFonts w:hint="eastAsia" w:ascii="宋体" w:hAnsi="宋体"/>
          <w:color w:val="000000"/>
          <w:szCs w:val="21"/>
        </w:rPr>
        <w:t>3.2判定原则</w:t>
      </w:r>
    </w:p>
    <w:p>
      <w:pPr>
        <w:keepNext w:val="0"/>
        <w:keepLines w:val="0"/>
        <w:pageBreakBefore w:val="0"/>
        <w:kinsoku/>
        <w:wordWrap/>
        <w:overflowPunct/>
        <w:topLinePunct w:val="0"/>
        <w:autoSpaceDE/>
        <w:autoSpaceDN/>
        <w:bidi w:val="0"/>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keepNext w:val="0"/>
        <w:keepLines w:val="0"/>
        <w:pageBreakBefore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黑体" w:hAnsi="宋体" w:eastAsia="黑体"/>
          <w:szCs w:val="21"/>
        </w:rPr>
      </w:pPr>
      <w:r>
        <w:rPr>
          <w:rFonts w:hint="eastAsia" w:ascii="宋体" w:hAnsi="宋体"/>
          <w:color w:val="000000"/>
          <w:szCs w:val="21"/>
        </w:rPr>
        <w:t>若被检产品明示的质量要求缺少本细则中检验项目依据的推荐性标准要求时，该项目不参与判定。</w:t>
      </w:r>
    </w:p>
    <w:p>
      <w:pPr>
        <w:keepNext w:val="0"/>
        <w:keepLines w:val="0"/>
        <w:pageBreakBefore w:val="0"/>
        <w:kinsoku/>
        <w:wordWrap/>
        <w:overflowPunct/>
        <w:topLinePunct w:val="0"/>
        <w:autoSpaceDE/>
        <w:autoSpaceDN/>
        <w:bidi w:val="0"/>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3193391"/>
      <w:docPartObj>
        <w:docPartGallery w:val="autotext"/>
      </w:docPartObj>
    </w:sdtPr>
    <w:sdtContent>
      <w:p>
        <w:pPr>
          <w:pStyle w:val="2"/>
          <w:jc w:val="right"/>
        </w:pPr>
        <w:r>
          <w:fldChar w:fldCharType="begin"/>
        </w:r>
        <w:r>
          <w:instrText xml:space="preserve">PAGE   \* MERGEFORMAT</w:instrText>
        </w:r>
        <w:r>
          <w:fldChar w:fldCharType="separate"/>
        </w:r>
        <w:r>
          <w:rPr>
            <w:lang w:val="zh-CN"/>
          </w:rPr>
          <w:t>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5C05"/>
    <w:rsid w:val="0008128C"/>
    <w:rsid w:val="000A7AE6"/>
    <w:rsid w:val="001D5F10"/>
    <w:rsid w:val="0021536D"/>
    <w:rsid w:val="003E4848"/>
    <w:rsid w:val="004D2989"/>
    <w:rsid w:val="005E35D9"/>
    <w:rsid w:val="009C53B6"/>
    <w:rsid w:val="00AC5C05"/>
    <w:rsid w:val="00C94BDE"/>
    <w:rsid w:val="00CC1F76"/>
    <w:rsid w:val="00D51DA9"/>
    <w:rsid w:val="00DF60AB"/>
    <w:rsid w:val="3F277F65"/>
    <w:rsid w:val="6EE07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232</Words>
  <Characters>1328</Characters>
  <Lines>11</Lines>
  <Paragraphs>3</Paragraphs>
  <TotalTime>0</TotalTime>
  <ScaleCrop>false</ScaleCrop>
  <LinksUpToDate>false</LinksUpToDate>
  <CharactersWithSpaces>1557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2019-07-12T00:39:00Z</dcterms:created>
  <dc:creator>陈卓辉</dc:creator>
  <cp:lastModifiedBy>陈卓辉</cp:lastModifiedBy>
  <dcterms:modified xsi:type="dcterms:W3CDTF">2021-07-12T04:49:43Z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