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outlineLvl w:val="0"/>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江门市电热电动食品加工工具设备（与食品接触部分）</w:t>
      </w:r>
    </w:p>
    <w:p>
      <w:pPr>
        <w:snapToGrid w:val="0"/>
        <w:spacing w:line="360" w:lineRule="auto"/>
        <w:jc w:val="center"/>
        <w:outlineLvl w:val="0"/>
        <w:rPr>
          <w:rFonts w:ascii="方正小标宋简体" w:hAnsi="仿宋" w:eastAsia="方正小标宋简体" w:cs="方正仿宋简体"/>
          <w:bCs/>
          <w:color w:val="000000"/>
          <w:sz w:val="32"/>
          <w:szCs w:val="32"/>
        </w:rPr>
      </w:pPr>
      <w:r>
        <w:rPr>
          <w:rFonts w:hint="eastAsia" w:ascii="方正小标宋简体" w:hAnsi="仿宋" w:eastAsia="方正小标宋简体" w:cs="方正仿宋简体"/>
          <w:bCs/>
          <w:color w:val="000000"/>
          <w:sz w:val="32"/>
          <w:szCs w:val="32"/>
        </w:rPr>
        <w:t>质量安全监督抽查</w:t>
      </w:r>
      <w:r>
        <w:rPr>
          <w:rFonts w:hint="eastAsia" w:ascii="方正小标宋简体" w:hAnsi="仿宋" w:eastAsia="方正小标宋简体" w:cs="方正仿宋简体"/>
          <w:color w:val="000000"/>
          <w:sz w:val="32"/>
          <w:szCs w:val="32"/>
        </w:rPr>
        <w:t>实施细则</w:t>
      </w:r>
    </w:p>
    <w:p>
      <w:pPr>
        <w:spacing w:line="360" w:lineRule="auto"/>
        <w:ind w:firstLine="420" w:firstLineChars="200"/>
        <w:rPr>
          <w:rFonts w:ascii="仿宋_GB2312" w:hAnsi="仿宋_GB2312" w:eastAsia="仿宋_GB2312" w:cs="仿宋_GB2312"/>
          <w:color w:val="000000"/>
          <w:sz w:val="28"/>
          <w:szCs w:val="28"/>
        </w:rPr>
      </w:pPr>
      <w:r>
        <w:rPr>
          <w:rFonts w:hint="eastAsia" w:ascii="宋体" w:hAnsi="宋体"/>
          <w:color w:val="000000"/>
          <w:szCs w:val="21"/>
        </w:rPr>
        <w:t>本细则适用于江门市生产环节中电热电动食品加工工具设备产品</w:t>
      </w:r>
      <w:r>
        <w:rPr>
          <w:rFonts w:hint="eastAsia" w:ascii="宋体" w:hAnsi="宋体"/>
          <w:color w:val="000000"/>
          <w:szCs w:val="21"/>
          <w:lang w:eastAsia="zh-CN"/>
        </w:rPr>
        <w:t>的市级</w:t>
      </w:r>
      <w:bookmarkStart w:id="1" w:name="_GoBack"/>
      <w:bookmarkEnd w:id="1"/>
      <w:r>
        <w:rPr>
          <w:rFonts w:hint="eastAsia" w:ascii="宋体" w:hAnsi="宋体"/>
          <w:color w:val="000000"/>
          <w:szCs w:val="21"/>
        </w:rPr>
        <w:t>监督抽查。</w:t>
      </w:r>
    </w:p>
    <w:p>
      <w:pPr>
        <w:snapToGrid w:val="0"/>
        <w:spacing w:line="360" w:lineRule="auto"/>
        <w:rPr>
          <w:rFonts w:hint="eastAsia"/>
          <w:b/>
          <w:color w:val="000000"/>
          <w:sz w:val="24"/>
        </w:rPr>
      </w:pPr>
    </w:p>
    <w:p>
      <w:pPr>
        <w:snapToGrid w:val="0"/>
        <w:spacing w:line="360" w:lineRule="auto"/>
        <w:rPr>
          <w:b/>
          <w:color w:val="000000"/>
          <w:sz w:val="24"/>
        </w:rPr>
      </w:pPr>
      <w:r>
        <w:rPr>
          <w:rFonts w:hint="eastAsia"/>
          <w:b/>
          <w:color w:val="000000"/>
          <w:sz w:val="24"/>
        </w:rPr>
        <w:t>1、抽样方法</w:t>
      </w:r>
    </w:p>
    <w:p>
      <w:pPr>
        <w:snapToGrid w:val="0"/>
        <w:spacing w:line="360" w:lineRule="auto"/>
        <w:ind w:firstLine="420" w:firstLineChars="200"/>
        <w:rPr>
          <w:color w:val="000000"/>
          <w:szCs w:val="21"/>
        </w:rPr>
      </w:pPr>
      <w:r>
        <w:rPr>
          <w:rFonts w:hint="eastAsia"/>
          <w:color w:val="000000"/>
          <w:szCs w:val="21"/>
        </w:rPr>
        <w:t>以随机抽样的方式在被抽样生产者、销售者的待销产品中抽取。</w:t>
      </w:r>
    </w:p>
    <w:p>
      <w:pPr>
        <w:snapToGrid w:val="0"/>
        <w:spacing w:line="360" w:lineRule="auto"/>
        <w:ind w:firstLine="420" w:firstLineChars="200"/>
        <w:rPr>
          <w:color w:val="000000"/>
          <w:szCs w:val="21"/>
        </w:rPr>
      </w:pPr>
      <w:r>
        <w:rPr>
          <w:rFonts w:hint="eastAsia"/>
          <w:color w:val="000000"/>
          <w:szCs w:val="21"/>
        </w:rPr>
        <w:t>随机数一般可使用随机数表等方法产生。</w:t>
      </w:r>
    </w:p>
    <w:p>
      <w:pPr>
        <w:snapToGrid w:val="0"/>
        <w:spacing w:line="360" w:lineRule="auto"/>
        <w:ind w:firstLine="420" w:firstLineChars="200"/>
        <w:rPr>
          <w:rFonts w:cs="宋体"/>
          <w:color w:val="000000"/>
        </w:rPr>
      </w:pPr>
      <w:r>
        <w:rPr>
          <w:rFonts w:hint="eastAsia" w:cs="宋体"/>
          <w:color w:val="000000"/>
        </w:rPr>
        <w:t>整机：</w:t>
      </w:r>
      <w:r>
        <w:rPr>
          <w:color w:val="000000"/>
          <w:szCs w:val="21"/>
        </w:rPr>
        <w:t>每批次产品抽取样品</w:t>
      </w:r>
      <w:r>
        <w:rPr>
          <w:rFonts w:hint="eastAsia" w:cs="宋体"/>
          <w:color w:val="000000"/>
        </w:rPr>
        <w:t>2台，其中1台作为检验样品，1台作为备用样品。同时抽取直接接触食品的部件上或在与其部件材料牌号、材质、生产商相同的零部件。</w:t>
      </w:r>
    </w:p>
    <w:p>
      <w:pPr>
        <w:spacing w:line="360" w:lineRule="auto"/>
        <w:ind w:firstLine="420" w:firstLineChars="200"/>
        <w:rPr>
          <w:rFonts w:ascii="仿宋_GB2312" w:hAnsi="仿宋_GB2312" w:eastAsia="仿宋_GB2312" w:cs="仿宋_GB2312"/>
          <w:sz w:val="28"/>
          <w:szCs w:val="28"/>
        </w:rPr>
      </w:pPr>
      <w:r>
        <w:rPr>
          <w:rFonts w:hint="eastAsia" w:cs="宋体"/>
          <w:color w:val="000000"/>
        </w:rPr>
        <w:t>电热电动食品加工工具(与食品接触主体部分聚丙烯材质、聚苯乙烯材质、聚对苯二甲酸乙 二醇酯材质、聚碳酸酯材质、橡胶改性的丙烯腈-丁二烯-苯乙烯、丙烯腈-苯乙烯材质、聚乙烯材质)部件：抽取塑料部件</w:t>
      </w:r>
      <w:r>
        <w:rPr>
          <w:rFonts w:hint="eastAsia" w:ascii="宋体" w:hAnsi="宋体" w:cs="宋体"/>
          <w:szCs w:val="21"/>
        </w:rPr>
        <w:t>不少于16个，12个作为检验样品，4个作为复检备用样品，</w:t>
      </w:r>
      <w:r>
        <w:rPr>
          <w:rFonts w:hint="eastAsia" w:ascii="宋体" w:hAnsi="宋体"/>
          <w:color w:val="000000"/>
          <w:szCs w:val="21"/>
        </w:rPr>
        <w:t>小件样品需适当增加抽样数量，以满足检验需要。</w:t>
      </w:r>
    </w:p>
    <w:p>
      <w:pPr>
        <w:spacing w:line="360" w:lineRule="auto"/>
        <w:ind w:firstLine="420" w:firstLineChars="200"/>
        <w:rPr>
          <w:rFonts w:ascii="仿宋_GB2312" w:hAnsi="仿宋_GB2312" w:eastAsia="仿宋_GB2312" w:cs="仿宋_GB2312"/>
          <w:sz w:val="28"/>
          <w:szCs w:val="28"/>
        </w:rPr>
      </w:pPr>
      <w:r>
        <w:rPr>
          <w:rFonts w:hint="eastAsia" w:cs="宋体"/>
          <w:color w:val="000000"/>
        </w:rPr>
        <w:t>电热电动食品加工工具(与食品接触主体部分玻璃材质)部件：抽取玻璃部件</w:t>
      </w:r>
      <w:r>
        <w:rPr>
          <w:rFonts w:hint="eastAsia" w:ascii="宋体" w:hAnsi="宋体"/>
          <w:color w:val="000000"/>
          <w:szCs w:val="21"/>
        </w:rPr>
        <w:t>样品不少于9件，6件作为检验样品，3件作为复检备用样品，小件样品需适当增加抽样数量，以满足检验需要。</w:t>
      </w:r>
    </w:p>
    <w:p>
      <w:pPr>
        <w:spacing w:line="360" w:lineRule="auto"/>
        <w:ind w:firstLine="420" w:firstLineChars="200"/>
        <w:rPr>
          <w:rFonts w:ascii="仿宋_GB2312" w:hAnsi="仿宋_GB2312" w:eastAsia="仿宋_GB2312" w:cs="仿宋_GB2312"/>
          <w:sz w:val="28"/>
          <w:szCs w:val="28"/>
        </w:rPr>
      </w:pPr>
      <w:r>
        <w:rPr>
          <w:rFonts w:hint="eastAsia" w:cs="宋体"/>
          <w:color w:val="000000"/>
        </w:rPr>
        <w:t>电热电动食品加工工具(与食品接触主体部分陶瓷材质)部件：</w:t>
      </w:r>
      <w:r>
        <w:rPr>
          <w:rFonts w:hint="eastAsia" w:ascii="宋体" w:hAnsi="宋体"/>
          <w:color w:val="000000"/>
          <w:szCs w:val="21"/>
        </w:rPr>
        <w:t>不少于9件，6件作为检验样品，3件作为复检备用样品，小件样品需适当增加抽样数量，以满足检验需要。</w:t>
      </w:r>
    </w:p>
    <w:p>
      <w:pPr>
        <w:snapToGrid w:val="0"/>
        <w:spacing w:line="360" w:lineRule="auto"/>
        <w:ind w:firstLine="420" w:firstLineChars="200"/>
        <w:rPr>
          <w:rFonts w:cs="宋体"/>
          <w:color w:val="000000"/>
        </w:rPr>
      </w:pPr>
      <w:r>
        <w:rPr>
          <w:rFonts w:hint="eastAsia" w:cs="宋体"/>
          <w:color w:val="000000"/>
        </w:rPr>
        <w:t>电热电动食品加工工具(与食品接触主体部分金属材质)部件：材料样块在直接接触食品的部件上或在与其部件材料牌号、材质、生产商相同的原材料上截取。每批次产品截取样块6组，每组样块应满足表面积≥50cm</w:t>
      </w:r>
      <w:r>
        <w:rPr>
          <w:rFonts w:hint="eastAsia" w:cs="宋体"/>
          <w:color w:val="000000"/>
          <w:vertAlign w:val="superscript"/>
        </w:rPr>
        <w:t>2</w:t>
      </w:r>
      <w:r>
        <w:rPr>
          <w:rFonts w:hint="eastAsia" w:cs="宋体"/>
          <w:color w:val="000000"/>
        </w:rPr>
        <w:t>，其中4组作为检验样品，2组作为备用样品。</w:t>
      </w:r>
    </w:p>
    <w:p>
      <w:pPr>
        <w:spacing w:line="360" w:lineRule="auto"/>
        <w:ind w:firstLine="420"/>
        <w:rPr>
          <w:rFonts w:cs="宋体"/>
          <w:color w:val="000000"/>
        </w:rPr>
      </w:pPr>
      <w:r>
        <w:rPr>
          <w:rFonts w:hint="eastAsia" w:cs="宋体"/>
          <w:color w:val="000000"/>
        </w:rPr>
        <w:t>电热电动食品加工工具(与食品接触主体部分内壁为聚四氟乙烯涂层材质)部件：抽取陶四氟乙烯涂层材质部件</w:t>
      </w:r>
      <w:r>
        <w:rPr>
          <w:rFonts w:hint="eastAsia" w:ascii="宋体" w:hAnsi="宋体" w:cs="宋体"/>
          <w:szCs w:val="21"/>
        </w:rPr>
        <w:t>不少于16个，12个作为检验样品，4个作为复检备用样品，</w:t>
      </w:r>
      <w:r>
        <w:rPr>
          <w:rFonts w:hint="eastAsia" w:ascii="宋体" w:hAnsi="宋体"/>
          <w:color w:val="000000"/>
          <w:szCs w:val="21"/>
        </w:rPr>
        <w:t>小件样品需适当增加抽样数量，以满足检验需要。</w:t>
      </w:r>
    </w:p>
    <w:p>
      <w:pPr>
        <w:spacing w:line="360" w:lineRule="auto"/>
        <w:rPr>
          <w:rFonts w:hint="eastAsia"/>
          <w:b/>
          <w:color w:val="000000"/>
          <w:sz w:val="24"/>
        </w:rPr>
      </w:pPr>
    </w:p>
    <w:p>
      <w:pPr>
        <w:spacing w:line="360" w:lineRule="auto"/>
        <w:rPr>
          <w:b/>
          <w:color w:val="000000"/>
          <w:sz w:val="24"/>
        </w:rPr>
      </w:pPr>
      <w:r>
        <w:rPr>
          <w:rFonts w:hint="eastAsia"/>
          <w:b/>
          <w:color w:val="000000"/>
          <w:sz w:val="24"/>
        </w:rPr>
        <w:t>2、检验依据</w:t>
      </w:r>
    </w:p>
    <w:p>
      <w:pPr>
        <w:snapToGrid w:val="0"/>
        <w:spacing w:line="440" w:lineRule="exact"/>
        <w:jc w:val="center"/>
        <w:rPr>
          <w:rFonts w:cs="宋体"/>
          <w:color w:val="000000"/>
        </w:rPr>
      </w:pPr>
      <w:r>
        <w:rPr>
          <w:rFonts w:hint="eastAsia" w:cs="宋体"/>
          <w:color w:val="000000"/>
        </w:rPr>
        <w:t>表1 电热电动食品加工工具(与食品接触主体部分聚丙烯材质、聚苯乙烯材质、聚对苯二甲酸乙 二醇酯材质、聚碳酸酯材质、橡胶改性的丙烯腈-丁二烯-苯乙烯、丙烯腈-苯乙烯材质、聚乙烯材质)检验项目</w:t>
      </w:r>
    </w:p>
    <w:p>
      <w:pPr>
        <w:snapToGrid w:val="0"/>
        <w:spacing w:line="440" w:lineRule="exact"/>
        <w:jc w:val="center"/>
        <w:rPr>
          <w:rFonts w:cs="宋体"/>
          <w:color w:val="000000"/>
        </w:rPr>
      </w:pP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687"/>
        <w:gridCol w:w="1710"/>
        <w:gridCol w:w="1986"/>
        <w:gridCol w:w="1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646"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序号</w:t>
            </w:r>
          </w:p>
        </w:tc>
        <w:tc>
          <w:tcPr>
            <w:tcW w:w="2687"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检验项目</w:t>
            </w:r>
          </w:p>
        </w:tc>
        <w:tc>
          <w:tcPr>
            <w:tcW w:w="1710"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检验依据</w:t>
            </w:r>
          </w:p>
        </w:tc>
        <w:tc>
          <w:tcPr>
            <w:tcW w:w="1986"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检验方法</w:t>
            </w:r>
          </w:p>
        </w:tc>
        <w:tc>
          <w:tcPr>
            <w:tcW w:w="1493"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cs="仿宋_GB2312"/>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4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1</w:t>
            </w:r>
          </w:p>
        </w:tc>
        <w:tc>
          <w:tcPr>
            <w:tcW w:w="26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感官要求</w:t>
            </w:r>
          </w:p>
        </w:tc>
        <w:tc>
          <w:tcPr>
            <w:tcW w:w="17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GB 4806.7-2016</w:t>
            </w:r>
          </w:p>
        </w:tc>
        <w:tc>
          <w:tcPr>
            <w:tcW w:w="19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GB 4806.7-2016</w:t>
            </w:r>
          </w:p>
        </w:tc>
        <w:tc>
          <w:tcPr>
            <w:tcW w:w="14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4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2</w:t>
            </w:r>
          </w:p>
        </w:tc>
        <w:tc>
          <w:tcPr>
            <w:tcW w:w="26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 xml:space="preserve"> 浸泡液</w:t>
            </w:r>
          </w:p>
        </w:tc>
        <w:tc>
          <w:tcPr>
            <w:tcW w:w="17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GB 4806.7-2016</w:t>
            </w:r>
          </w:p>
        </w:tc>
        <w:tc>
          <w:tcPr>
            <w:tcW w:w="19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GB 4806.7-2016</w:t>
            </w:r>
          </w:p>
        </w:tc>
        <w:tc>
          <w:tcPr>
            <w:tcW w:w="14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4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3</w:t>
            </w:r>
          </w:p>
        </w:tc>
        <w:tc>
          <w:tcPr>
            <w:tcW w:w="2687"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高锰酸钾消耗量</w:t>
            </w:r>
          </w:p>
        </w:tc>
        <w:tc>
          <w:tcPr>
            <w:tcW w:w="1710"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GB 4806.7-2016</w:t>
            </w:r>
          </w:p>
        </w:tc>
        <w:tc>
          <w:tcPr>
            <w:tcW w:w="1986"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GB 31604.2-2016</w:t>
            </w:r>
          </w:p>
        </w:tc>
        <w:tc>
          <w:tcPr>
            <w:tcW w:w="14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4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4</w:t>
            </w:r>
          </w:p>
        </w:tc>
        <w:tc>
          <w:tcPr>
            <w:tcW w:w="2687"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总迁移量</w:t>
            </w:r>
          </w:p>
        </w:tc>
        <w:tc>
          <w:tcPr>
            <w:tcW w:w="1710"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GB 4806.7-2016</w:t>
            </w:r>
          </w:p>
        </w:tc>
        <w:tc>
          <w:tcPr>
            <w:tcW w:w="1986"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GB 31604.8-2016</w:t>
            </w:r>
          </w:p>
        </w:tc>
        <w:tc>
          <w:tcPr>
            <w:tcW w:w="14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4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5</w:t>
            </w:r>
          </w:p>
        </w:tc>
        <w:tc>
          <w:tcPr>
            <w:tcW w:w="2687"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重金属（以Pb计）</w:t>
            </w:r>
          </w:p>
        </w:tc>
        <w:tc>
          <w:tcPr>
            <w:tcW w:w="1710"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GB 4806.7-2016</w:t>
            </w:r>
          </w:p>
        </w:tc>
        <w:tc>
          <w:tcPr>
            <w:tcW w:w="1986"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GB 31604.9-2016</w:t>
            </w:r>
          </w:p>
        </w:tc>
        <w:tc>
          <w:tcPr>
            <w:tcW w:w="149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3" w:hRule="atLeast"/>
          <w:jc w:val="center"/>
        </w:trPr>
        <w:tc>
          <w:tcPr>
            <w:tcW w:w="64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6</w:t>
            </w:r>
          </w:p>
        </w:tc>
        <w:tc>
          <w:tcPr>
            <w:tcW w:w="26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脱色试验</w:t>
            </w:r>
          </w:p>
        </w:tc>
        <w:tc>
          <w:tcPr>
            <w:tcW w:w="17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GB 4806.7-2016</w:t>
            </w:r>
          </w:p>
        </w:tc>
        <w:tc>
          <w:tcPr>
            <w:tcW w:w="19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GB 31604.7-2016</w:t>
            </w:r>
          </w:p>
        </w:tc>
        <w:tc>
          <w:tcPr>
            <w:tcW w:w="1493"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仅适用添加了着色剂的产品</w:t>
            </w:r>
          </w:p>
        </w:tc>
      </w:tr>
    </w:tbl>
    <w:p>
      <w:pPr>
        <w:snapToGrid w:val="0"/>
        <w:spacing w:line="440" w:lineRule="exact"/>
        <w:jc w:val="left"/>
        <w:rPr>
          <w:rFonts w:ascii="楷体_GB2312" w:hAnsi="楷体_GB2312" w:eastAsia="楷体_GB2312" w:cs="楷体_GB2312"/>
          <w:color w:val="000000"/>
          <w:sz w:val="32"/>
          <w:szCs w:val="32"/>
        </w:rPr>
      </w:pPr>
    </w:p>
    <w:p>
      <w:pPr>
        <w:snapToGrid w:val="0"/>
        <w:spacing w:line="440" w:lineRule="exact"/>
        <w:jc w:val="center"/>
        <w:rPr>
          <w:rFonts w:cs="宋体"/>
          <w:color w:val="000000"/>
        </w:rPr>
      </w:pPr>
      <w:r>
        <w:rPr>
          <w:rFonts w:hint="eastAsia" w:cs="宋体"/>
          <w:color w:val="000000"/>
        </w:rPr>
        <w:t>表2、电热电动食品加工工具(与食品接触主体部分玻璃材质)项目表</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2503"/>
        <w:gridCol w:w="26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序号</w:t>
            </w:r>
          </w:p>
        </w:tc>
        <w:tc>
          <w:tcPr>
            <w:tcW w:w="2503"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检验项目</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检验依据</w:t>
            </w:r>
          </w:p>
        </w:tc>
        <w:tc>
          <w:tcPr>
            <w:tcW w:w="2627"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cs="宋体"/>
                <w:szCs w:val="21"/>
              </w:rPr>
            </w:pPr>
            <w:r>
              <w:rPr>
                <w:rFonts w:hint="eastAsia" w:cs="宋体"/>
                <w:szCs w:val="21"/>
              </w:rPr>
              <w:t>1</w:t>
            </w:r>
          </w:p>
        </w:tc>
        <w:tc>
          <w:tcPr>
            <w:tcW w:w="25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cs="宋体"/>
                <w:szCs w:val="21"/>
              </w:rPr>
            </w:pPr>
            <w:r>
              <w:rPr>
                <w:rFonts w:hint="eastAsia" w:cs="宋体"/>
                <w:szCs w:val="21"/>
              </w:rPr>
              <w:t>感官要求</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cs="宋体"/>
                <w:szCs w:val="21"/>
              </w:rPr>
            </w:pPr>
            <w:r>
              <w:rPr>
                <w:rFonts w:hint="eastAsia" w:cs="宋体"/>
                <w:szCs w:val="21"/>
              </w:rPr>
              <w:t>GB 4806.5-2016</w:t>
            </w:r>
          </w:p>
        </w:tc>
        <w:tc>
          <w:tcPr>
            <w:tcW w:w="26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cs="宋体"/>
                <w:szCs w:val="21"/>
              </w:rPr>
            </w:pPr>
            <w:r>
              <w:rPr>
                <w:rFonts w:hint="eastAsia" w:cs="宋体"/>
                <w:szCs w:val="21"/>
              </w:rPr>
              <w:t>GB 4806.5-2016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cs="宋体"/>
                <w:szCs w:val="21"/>
              </w:rPr>
            </w:pPr>
            <w:r>
              <w:rPr>
                <w:rFonts w:hint="eastAsia" w:cs="宋体"/>
                <w:szCs w:val="21"/>
              </w:rPr>
              <w:t>2</w:t>
            </w:r>
          </w:p>
        </w:tc>
        <w:tc>
          <w:tcPr>
            <w:tcW w:w="25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cs="宋体"/>
                <w:szCs w:val="21"/>
              </w:rPr>
            </w:pPr>
            <w:r>
              <w:rPr>
                <w:rFonts w:hint="eastAsia" w:cs="宋体"/>
                <w:szCs w:val="21"/>
              </w:rPr>
              <w:t>铅（Pb）</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cs="宋体"/>
                <w:szCs w:val="21"/>
              </w:rPr>
            </w:pPr>
            <w:r>
              <w:rPr>
                <w:rFonts w:hint="eastAsia" w:cs="宋体"/>
                <w:szCs w:val="21"/>
              </w:rPr>
              <w:t>GB 4806.5-2016</w:t>
            </w:r>
          </w:p>
        </w:tc>
        <w:tc>
          <w:tcPr>
            <w:tcW w:w="26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cs="宋体"/>
                <w:szCs w:val="21"/>
              </w:rPr>
            </w:pPr>
            <w:r>
              <w:rPr>
                <w:rFonts w:hint="eastAsia" w:cs="宋体"/>
                <w:szCs w:val="21"/>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cs="宋体"/>
                <w:szCs w:val="21"/>
              </w:rPr>
            </w:pPr>
            <w:r>
              <w:rPr>
                <w:rFonts w:hint="eastAsia" w:cs="宋体"/>
                <w:szCs w:val="21"/>
              </w:rPr>
              <w:t>3</w:t>
            </w:r>
          </w:p>
        </w:tc>
        <w:tc>
          <w:tcPr>
            <w:tcW w:w="25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cs="宋体"/>
                <w:szCs w:val="21"/>
              </w:rPr>
            </w:pPr>
            <w:r>
              <w:rPr>
                <w:rFonts w:hint="eastAsia" w:cs="宋体"/>
                <w:szCs w:val="21"/>
              </w:rPr>
              <w:t>镉（Cd）</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cs="宋体"/>
                <w:szCs w:val="21"/>
              </w:rPr>
            </w:pPr>
            <w:r>
              <w:rPr>
                <w:rFonts w:hint="eastAsia" w:cs="宋体"/>
                <w:szCs w:val="21"/>
              </w:rPr>
              <w:t>GB 4806.5-2016</w:t>
            </w:r>
          </w:p>
        </w:tc>
        <w:tc>
          <w:tcPr>
            <w:tcW w:w="26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cs="宋体"/>
                <w:szCs w:val="21"/>
              </w:rPr>
            </w:pPr>
            <w:r>
              <w:rPr>
                <w:rFonts w:hint="eastAsia" w:cs="宋体"/>
                <w:szCs w:val="21"/>
              </w:rPr>
              <w:t>GB 31604.24-2016</w:t>
            </w:r>
          </w:p>
        </w:tc>
      </w:tr>
    </w:tbl>
    <w:p>
      <w:pPr>
        <w:snapToGrid w:val="0"/>
        <w:spacing w:line="440" w:lineRule="exact"/>
        <w:jc w:val="left"/>
        <w:rPr>
          <w:color w:val="000000"/>
          <w:szCs w:val="21"/>
        </w:rPr>
      </w:pPr>
    </w:p>
    <w:p>
      <w:pPr>
        <w:snapToGrid w:val="0"/>
        <w:spacing w:line="440" w:lineRule="exact"/>
        <w:jc w:val="center"/>
        <w:rPr>
          <w:rFonts w:cs="宋体"/>
          <w:color w:val="000000"/>
        </w:rPr>
      </w:pPr>
      <w:r>
        <w:rPr>
          <w:rFonts w:hint="eastAsia" w:cs="宋体"/>
          <w:color w:val="000000"/>
        </w:rPr>
        <w:t>表3、电热电动食品加工工具(与食品接触主体部分陶瓷材质)项目表</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2503"/>
        <w:gridCol w:w="26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序号</w:t>
            </w:r>
          </w:p>
        </w:tc>
        <w:tc>
          <w:tcPr>
            <w:tcW w:w="2503"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检验项目</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检验依据</w:t>
            </w:r>
          </w:p>
        </w:tc>
        <w:tc>
          <w:tcPr>
            <w:tcW w:w="2627"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cs="宋体"/>
                <w:szCs w:val="21"/>
              </w:rPr>
            </w:pPr>
            <w:r>
              <w:rPr>
                <w:rFonts w:hint="eastAsia" w:cs="宋体"/>
                <w:szCs w:val="21"/>
              </w:rPr>
              <w:t>1</w:t>
            </w:r>
          </w:p>
        </w:tc>
        <w:tc>
          <w:tcPr>
            <w:tcW w:w="25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cs="宋体"/>
                <w:szCs w:val="21"/>
              </w:rPr>
            </w:pPr>
            <w:r>
              <w:rPr>
                <w:rFonts w:hint="eastAsia" w:ascii="宋体" w:hAnsi="宋体"/>
                <w:szCs w:val="21"/>
              </w:rPr>
              <w:t>感官要求</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cs="宋体"/>
                <w:szCs w:val="21"/>
              </w:rPr>
            </w:pPr>
            <w:r>
              <w:rPr>
                <w:rFonts w:hint="eastAsia" w:cs="宋体"/>
                <w:szCs w:val="21"/>
              </w:rPr>
              <w:t>GB 4806.4-2016</w:t>
            </w:r>
          </w:p>
        </w:tc>
        <w:tc>
          <w:tcPr>
            <w:tcW w:w="26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cs="宋体"/>
                <w:szCs w:val="21"/>
              </w:rPr>
            </w:pPr>
            <w:r>
              <w:rPr>
                <w:rFonts w:hint="eastAsia" w:cs="宋体"/>
                <w:szCs w:val="21"/>
              </w:rPr>
              <w:t>GB 4806.5-2016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cs="宋体"/>
                <w:szCs w:val="21"/>
              </w:rPr>
            </w:pPr>
            <w:r>
              <w:rPr>
                <w:rFonts w:hint="eastAsia" w:cs="宋体"/>
                <w:szCs w:val="21"/>
              </w:rPr>
              <w:t>2</w:t>
            </w:r>
          </w:p>
        </w:tc>
        <w:tc>
          <w:tcPr>
            <w:tcW w:w="25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cs="宋体"/>
                <w:szCs w:val="21"/>
              </w:rPr>
            </w:pPr>
            <w:r>
              <w:rPr>
                <w:rFonts w:hint="eastAsia" w:cs="宋体"/>
                <w:szCs w:val="21"/>
              </w:rPr>
              <w:t>铅（Pb）</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cs="宋体"/>
                <w:szCs w:val="21"/>
              </w:rPr>
            </w:pPr>
            <w:r>
              <w:rPr>
                <w:rFonts w:hint="eastAsia" w:cs="宋体"/>
                <w:szCs w:val="21"/>
              </w:rPr>
              <w:t>GB 4806.4-2016</w:t>
            </w:r>
          </w:p>
        </w:tc>
        <w:tc>
          <w:tcPr>
            <w:tcW w:w="26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cs="宋体"/>
                <w:szCs w:val="21"/>
              </w:rPr>
            </w:pPr>
            <w:r>
              <w:rPr>
                <w:rFonts w:hint="eastAsia" w:cs="宋体"/>
                <w:szCs w:val="21"/>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jc w:val="center"/>
        </w:trPr>
        <w:tc>
          <w:tcPr>
            <w:tcW w:w="75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cs="宋体"/>
                <w:szCs w:val="21"/>
              </w:rPr>
            </w:pPr>
            <w:r>
              <w:rPr>
                <w:rFonts w:hint="eastAsia" w:cs="宋体"/>
                <w:szCs w:val="21"/>
              </w:rPr>
              <w:t>3</w:t>
            </w:r>
          </w:p>
        </w:tc>
        <w:tc>
          <w:tcPr>
            <w:tcW w:w="25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cs="宋体"/>
                <w:szCs w:val="21"/>
              </w:rPr>
            </w:pPr>
            <w:r>
              <w:rPr>
                <w:rFonts w:hint="eastAsia" w:cs="宋体"/>
                <w:szCs w:val="21"/>
              </w:rPr>
              <w:t>镉（Cd）</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cs="宋体"/>
                <w:szCs w:val="21"/>
              </w:rPr>
            </w:pPr>
            <w:r>
              <w:rPr>
                <w:rFonts w:hint="eastAsia" w:cs="宋体"/>
                <w:szCs w:val="21"/>
              </w:rPr>
              <w:t>GB 4806.4-2016</w:t>
            </w:r>
          </w:p>
        </w:tc>
        <w:tc>
          <w:tcPr>
            <w:tcW w:w="26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cs="宋体"/>
                <w:szCs w:val="21"/>
              </w:rPr>
            </w:pPr>
            <w:r>
              <w:rPr>
                <w:rFonts w:hint="eastAsia" w:cs="宋体"/>
                <w:szCs w:val="21"/>
              </w:rPr>
              <w:t>GB 31604.24-2016</w:t>
            </w:r>
          </w:p>
        </w:tc>
      </w:tr>
    </w:tbl>
    <w:p>
      <w:pPr>
        <w:snapToGrid w:val="0"/>
        <w:spacing w:line="440" w:lineRule="exact"/>
        <w:jc w:val="left"/>
        <w:rPr>
          <w:color w:val="000000"/>
          <w:szCs w:val="21"/>
        </w:rPr>
      </w:pPr>
    </w:p>
    <w:p>
      <w:pPr>
        <w:snapToGrid w:val="0"/>
        <w:spacing w:line="440" w:lineRule="exact"/>
        <w:jc w:val="center"/>
        <w:rPr>
          <w:rFonts w:cs="宋体"/>
          <w:color w:val="000000"/>
        </w:rPr>
      </w:pPr>
      <w:r>
        <w:rPr>
          <w:rFonts w:hint="eastAsia" w:cs="宋体"/>
          <w:color w:val="000000"/>
        </w:rPr>
        <w:t>表4、电热电动食品加工工具(与食品接触主体部分金属材质)项目表</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524"/>
        <w:gridCol w:w="1899"/>
        <w:gridCol w:w="2531"/>
        <w:gridCol w:w="1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674"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序号</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检验项目</w:t>
            </w:r>
          </w:p>
        </w:tc>
        <w:tc>
          <w:tcPr>
            <w:tcW w:w="1899"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检验依据</w:t>
            </w:r>
          </w:p>
        </w:tc>
        <w:tc>
          <w:tcPr>
            <w:tcW w:w="2531"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检验方法</w:t>
            </w:r>
          </w:p>
        </w:tc>
        <w:tc>
          <w:tcPr>
            <w:tcW w:w="1894"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1</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感官</w:t>
            </w:r>
          </w:p>
        </w:tc>
        <w:tc>
          <w:tcPr>
            <w:tcW w:w="18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53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189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2</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浸泡液</w:t>
            </w:r>
          </w:p>
        </w:tc>
        <w:tc>
          <w:tcPr>
            <w:tcW w:w="18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53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189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3</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砷（As）</w:t>
            </w:r>
          </w:p>
        </w:tc>
        <w:tc>
          <w:tcPr>
            <w:tcW w:w="18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53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left="-105" w:right="-105"/>
              <w:jc w:val="center"/>
              <w:rPr>
                <w:rFonts w:cs="宋体"/>
                <w:szCs w:val="21"/>
              </w:rPr>
            </w:pPr>
            <w:r>
              <w:rPr>
                <w:rFonts w:hint="eastAsia" w:cs="宋体"/>
                <w:szCs w:val="21"/>
              </w:rPr>
              <w:t>GB 31604.38-2016第二部分或GB 31604.49-2016第二部分</w:t>
            </w:r>
          </w:p>
        </w:tc>
        <w:tc>
          <w:tcPr>
            <w:tcW w:w="189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4</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镉（Cd）</w:t>
            </w:r>
          </w:p>
        </w:tc>
        <w:tc>
          <w:tcPr>
            <w:tcW w:w="18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53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left="-105" w:right="-105"/>
              <w:jc w:val="center"/>
              <w:rPr>
                <w:rFonts w:cs="宋体"/>
                <w:szCs w:val="21"/>
              </w:rPr>
            </w:pPr>
            <w:r>
              <w:rPr>
                <w:rFonts w:hint="eastAsia" w:cs="宋体"/>
                <w:szCs w:val="21"/>
              </w:rPr>
              <w:t>GB 31604.24-2016</w:t>
            </w:r>
          </w:p>
          <w:p>
            <w:pPr>
              <w:adjustRightInd w:val="0"/>
              <w:snapToGrid w:val="0"/>
              <w:ind w:left="-105" w:right="-105"/>
              <w:jc w:val="center"/>
              <w:rPr>
                <w:rFonts w:cs="宋体"/>
                <w:szCs w:val="21"/>
              </w:rPr>
            </w:pPr>
            <w:r>
              <w:rPr>
                <w:rFonts w:hint="eastAsia" w:cs="宋体"/>
                <w:szCs w:val="21"/>
              </w:rPr>
              <w:t>或GB 31604.49-2016第二部分</w:t>
            </w:r>
          </w:p>
        </w:tc>
        <w:tc>
          <w:tcPr>
            <w:tcW w:w="189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5</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铅（Pb）</w:t>
            </w:r>
          </w:p>
        </w:tc>
        <w:tc>
          <w:tcPr>
            <w:tcW w:w="18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53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left="-105" w:right="-105"/>
              <w:jc w:val="center"/>
              <w:rPr>
                <w:rFonts w:cs="宋体"/>
                <w:szCs w:val="21"/>
              </w:rPr>
            </w:pPr>
            <w:r>
              <w:rPr>
                <w:rFonts w:hint="eastAsia" w:cs="宋体"/>
                <w:szCs w:val="21"/>
              </w:rPr>
              <w:t>GB 31604.34-2016第二部分或GB 31604.49-2016第二部分</w:t>
            </w:r>
          </w:p>
        </w:tc>
        <w:tc>
          <w:tcPr>
            <w:tcW w:w="189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6</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铬（Cr）</w:t>
            </w:r>
          </w:p>
        </w:tc>
        <w:tc>
          <w:tcPr>
            <w:tcW w:w="18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53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left="-105" w:right="-105"/>
              <w:jc w:val="center"/>
              <w:rPr>
                <w:rFonts w:cs="宋体"/>
                <w:szCs w:val="21"/>
              </w:rPr>
            </w:pPr>
            <w:r>
              <w:rPr>
                <w:rFonts w:hint="eastAsia" w:cs="宋体"/>
                <w:szCs w:val="21"/>
              </w:rPr>
              <w:t>GB31604.25-2016</w:t>
            </w:r>
          </w:p>
          <w:p>
            <w:pPr>
              <w:adjustRightInd w:val="0"/>
              <w:snapToGrid w:val="0"/>
              <w:ind w:left="-105" w:right="-105"/>
              <w:jc w:val="center"/>
              <w:rPr>
                <w:rFonts w:cs="宋体"/>
                <w:szCs w:val="21"/>
              </w:rPr>
            </w:pPr>
            <w:r>
              <w:rPr>
                <w:rFonts w:hint="eastAsia" w:cs="宋体"/>
                <w:szCs w:val="21"/>
              </w:rPr>
              <w:t>或GB 31604.49-2016第二部分</w:t>
            </w:r>
          </w:p>
        </w:tc>
        <w:tc>
          <w:tcPr>
            <w:tcW w:w="1894"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（与食品直接接触的其他金属材料及制品不检测；</w:t>
            </w:r>
            <w:r>
              <w:rPr>
                <w:rFonts w:hint="eastAsia" w:ascii="宋体" w:hAnsi="宋体" w:cs="仿宋"/>
                <w:szCs w:val="21"/>
              </w:rPr>
              <w:t>马氏体型不锈钢材料及制品不检测该指标。</w:t>
            </w: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7</w:t>
            </w:r>
          </w:p>
        </w:tc>
        <w:tc>
          <w:tcPr>
            <w:tcW w:w="15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镍（Ni）</w:t>
            </w:r>
          </w:p>
        </w:tc>
        <w:tc>
          <w:tcPr>
            <w:tcW w:w="189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53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left="-105" w:right="-105"/>
              <w:jc w:val="center"/>
              <w:rPr>
                <w:rFonts w:cs="宋体"/>
                <w:szCs w:val="21"/>
              </w:rPr>
            </w:pPr>
            <w:r>
              <w:rPr>
                <w:rFonts w:hint="eastAsia" w:cs="宋体"/>
                <w:szCs w:val="21"/>
              </w:rPr>
              <w:t>GB31604.33-2016</w:t>
            </w:r>
          </w:p>
          <w:p>
            <w:pPr>
              <w:adjustRightInd w:val="0"/>
              <w:snapToGrid w:val="0"/>
              <w:ind w:left="-105" w:right="-105"/>
              <w:jc w:val="center"/>
              <w:rPr>
                <w:rFonts w:cs="宋体"/>
                <w:szCs w:val="21"/>
              </w:rPr>
            </w:pPr>
            <w:r>
              <w:rPr>
                <w:rFonts w:hint="eastAsia" w:cs="宋体"/>
                <w:szCs w:val="21"/>
              </w:rPr>
              <w:t>或GB 31604.49-2016第二部分</w:t>
            </w:r>
          </w:p>
        </w:tc>
        <w:tc>
          <w:tcPr>
            <w:tcW w:w="1894"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（与食品直接接触的其他金属材料及制品不检测）</w:t>
            </w:r>
          </w:p>
        </w:tc>
      </w:tr>
    </w:tbl>
    <w:p>
      <w:pPr>
        <w:snapToGrid w:val="0"/>
        <w:spacing w:line="440" w:lineRule="exact"/>
        <w:jc w:val="left"/>
        <w:rPr>
          <w:color w:val="000000"/>
          <w:szCs w:val="21"/>
        </w:rPr>
      </w:pPr>
    </w:p>
    <w:p>
      <w:pPr>
        <w:snapToGrid w:val="0"/>
        <w:spacing w:line="440" w:lineRule="exact"/>
        <w:jc w:val="center"/>
        <w:rPr>
          <w:rFonts w:cs="宋体"/>
          <w:color w:val="000000"/>
        </w:rPr>
      </w:pPr>
      <w:r>
        <w:rPr>
          <w:rFonts w:hint="eastAsia" w:cs="宋体"/>
          <w:color w:val="000000"/>
        </w:rPr>
        <w:t>表5、电热电动食品加工工具(与食品接触主体部分内壁为聚四氟乙烯涂层材质)项目表</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2052"/>
        <w:gridCol w:w="2441"/>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77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序号</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检验项目</w:t>
            </w:r>
          </w:p>
        </w:tc>
        <w:tc>
          <w:tcPr>
            <w:tcW w:w="2441"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检验依据</w:t>
            </w:r>
          </w:p>
        </w:tc>
        <w:tc>
          <w:tcPr>
            <w:tcW w:w="3254"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1</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感官</w:t>
            </w:r>
          </w:p>
        </w:tc>
        <w:tc>
          <w:tcPr>
            <w:tcW w:w="24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4806.10</w:t>
            </w:r>
          </w:p>
        </w:tc>
        <w:tc>
          <w:tcPr>
            <w:tcW w:w="325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2</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浸泡液</w:t>
            </w:r>
          </w:p>
        </w:tc>
        <w:tc>
          <w:tcPr>
            <w:tcW w:w="24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4806.10</w:t>
            </w:r>
          </w:p>
        </w:tc>
        <w:tc>
          <w:tcPr>
            <w:tcW w:w="325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3</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总迁移量</w:t>
            </w:r>
          </w:p>
        </w:tc>
        <w:tc>
          <w:tcPr>
            <w:tcW w:w="24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4806.10</w:t>
            </w:r>
          </w:p>
        </w:tc>
        <w:tc>
          <w:tcPr>
            <w:tcW w:w="325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31604.8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4</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高锰酸钾消耗量</w:t>
            </w:r>
          </w:p>
        </w:tc>
        <w:tc>
          <w:tcPr>
            <w:tcW w:w="24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4806.10</w:t>
            </w:r>
          </w:p>
        </w:tc>
        <w:tc>
          <w:tcPr>
            <w:tcW w:w="325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31604.2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5</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重金属</w:t>
            </w:r>
          </w:p>
        </w:tc>
        <w:tc>
          <w:tcPr>
            <w:tcW w:w="24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4806.10</w:t>
            </w:r>
          </w:p>
        </w:tc>
        <w:tc>
          <w:tcPr>
            <w:tcW w:w="325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31604.9</w:t>
            </w:r>
          </w:p>
        </w:tc>
      </w:tr>
    </w:tbl>
    <w:p>
      <w:pPr>
        <w:snapToGrid w:val="0"/>
        <w:spacing w:line="440" w:lineRule="exact"/>
        <w:jc w:val="left"/>
        <w:rPr>
          <w:rFonts w:ascii="楷体_GB2312" w:hAnsi="楷体_GB2312" w:eastAsia="楷体_GB2312" w:cs="楷体_GB2312"/>
          <w:color w:val="000000"/>
          <w:sz w:val="32"/>
          <w:szCs w:val="32"/>
        </w:rPr>
      </w:pPr>
    </w:p>
    <w:p>
      <w:pPr>
        <w:adjustRightInd w:val="0"/>
        <w:snapToGrid w:val="0"/>
        <w:spacing w:line="440" w:lineRule="exact"/>
        <w:ind w:firstLine="420" w:firstLineChars="200"/>
        <w:rPr>
          <w:color w:val="000000"/>
          <w:szCs w:val="21"/>
        </w:rPr>
      </w:pPr>
      <w:bookmarkStart w:id="0" w:name="_Hlk40347690"/>
      <w:r>
        <w:rPr>
          <w:rFonts w:hint="eastAsia"/>
          <w:color w:val="000000"/>
          <w:szCs w:val="21"/>
        </w:rPr>
        <w:t>执行企业标准、团体标准、地方标准的产品，检验项目参照上述内容执行。</w:t>
      </w:r>
    </w:p>
    <w:bookmarkEnd w:id="0"/>
    <w:p>
      <w:pPr>
        <w:snapToGrid w:val="0"/>
        <w:spacing w:line="440" w:lineRule="exact"/>
        <w:ind w:firstLine="359" w:firstLineChars="171"/>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napToGrid w:val="0"/>
        <w:spacing w:line="360" w:lineRule="auto"/>
        <w:rPr>
          <w:rFonts w:hint="eastAsia"/>
          <w:b/>
          <w:color w:val="000000"/>
          <w:sz w:val="24"/>
        </w:rPr>
      </w:pPr>
    </w:p>
    <w:p>
      <w:pPr>
        <w:snapToGrid w:val="0"/>
        <w:spacing w:line="360" w:lineRule="auto"/>
        <w:rPr>
          <w:b/>
          <w:color w:val="000000"/>
          <w:sz w:val="24"/>
        </w:rPr>
      </w:pPr>
      <w:r>
        <w:rPr>
          <w:rFonts w:hint="eastAsia"/>
          <w:b/>
          <w:color w:val="000000"/>
          <w:sz w:val="24"/>
        </w:rPr>
        <w:t>3、判定规则</w:t>
      </w:r>
    </w:p>
    <w:p>
      <w:pPr>
        <w:snapToGrid w:val="0"/>
        <w:spacing w:line="440" w:lineRule="exact"/>
        <w:rPr>
          <w:rFonts w:ascii="宋体" w:hAnsi="宋体"/>
          <w:color w:val="000000"/>
          <w:szCs w:val="21"/>
        </w:rPr>
      </w:pPr>
      <w:r>
        <w:rPr>
          <w:rFonts w:hint="eastAsia" w:ascii="宋体" w:hAnsi="宋体"/>
          <w:color w:val="000000"/>
          <w:szCs w:val="21"/>
        </w:rPr>
        <w:t>3.1 依据标准</w:t>
      </w:r>
    </w:p>
    <w:p>
      <w:pPr>
        <w:adjustRightInd w:val="0"/>
        <w:snapToGrid w:val="0"/>
        <w:spacing w:line="360" w:lineRule="auto"/>
        <w:ind w:firstLine="420" w:firstLineChars="200"/>
        <w:rPr>
          <w:rFonts w:ascii="宋体" w:hAnsi="宋体"/>
          <w:szCs w:val="21"/>
        </w:rPr>
      </w:pPr>
      <w:r>
        <w:rPr>
          <w:rFonts w:hint="eastAsia" w:ascii="宋体" w:hAnsi="宋体"/>
          <w:szCs w:val="21"/>
        </w:rPr>
        <w:t>GB 4806.4-2016 食品安全国家标准  陶瓷制品</w:t>
      </w:r>
    </w:p>
    <w:p>
      <w:pPr>
        <w:adjustRightInd w:val="0"/>
        <w:snapToGrid w:val="0"/>
        <w:spacing w:line="360" w:lineRule="auto"/>
        <w:ind w:firstLine="420" w:firstLineChars="200"/>
        <w:rPr>
          <w:rFonts w:ascii="宋体" w:hAnsi="宋体"/>
          <w:szCs w:val="21"/>
        </w:rPr>
      </w:pPr>
      <w:r>
        <w:rPr>
          <w:rFonts w:hint="eastAsia" w:ascii="宋体" w:hAnsi="宋体"/>
          <w:szCs w:val="21"/>
        </w:rPr>
        <w:t>GB 4806.5-2016 食品安全国家标准  玻璃制品</w:t>
      </w:r>
    </w:p>
    <w:p>
      <w:pPr>
        <w:adjustRightInd w:val="0"/>
        <w:snapToGrid w:val="0"/>
        <w:spacing w:line="360" w:lineRule="auto"/>
        <w:ind w:firstLine="420" w:firstLineChars="200"/>
        <w:rPr>
          <w:rFonts w:ascii="宋体" w:hAnsi="宋体"/>
          <w:szCs w:val="21"/>
        </w:rPr>
      </w:pPr>
      <w:r>
        <w:rPr>
          <w:rFonts w:hint="eastAsia" w:ascii="宋体" w:hAnsi="宋体"/>
          <w:szCs w:val="21"/>
        </w:rPr>
        <w:t>GB 4806.6-2016 食品安全国家标准  食品接触用塑料树脂</w:t>
      </w:r>
    </w:p>
    <w:p>
      <w:pPr>
        <w:adjustRightInd w:val="0"/>
        <w:snapToGrid w:val="0"/>
        <w:spacing w:line="360" w:lineRule="auto"/>
        <w:ind w:firstLine="420" w:firstLineChars="200"/>
        <w:rPr>
          <w:rFonts w:ascii="宋体" w:hAnsi="宋体"/>
          <w:szCs w:val="21"/>
        </w:rPr>
      </w:pPr>
      <w:r>
        <w:rPr>
          <w:rFonts w:hint="eastAsia" w:ascii="宋体" w:hAnsi="宋体"/>
          <w:szCs w:val="21"/>
        </w:rPr>
        <w:t>GB 4806.7-2016 食品安全国家标准  食品接触用塑料材料及制品</w:t>
      </w:r>
    </w:p>
    <w:p>
      <w:pPr>
        <w:adjustRightInd w:val="0"/>
        <w:snapToGrid w:val="0"/>
        <w:spacing w:line="360" w:lineRule="auto"/>
        <w:ind w:firstLine="420" w:firstLineChars="200"/>
        <w:rPr>
          <w:rFonts w:ascii="宋体" w:hAnsi="宋体"/>
          <w:szCs w:val="21"/>
        </w:rPr>
      </w:pPr>
      <w:r>
        <w:rPr>
          <w:rFonts w:hint="eastAsia" w:ascii="宋体" w:hAnsi="宋体"/>
          <w:szCs w:val="21"/>
        </w:rPr>
        <w:t>GB 4806.9-2016</w:t>
      </w:r>
      <w:r>
        <w:rPr>
          <w:rFonts w:ascii="宋体" w:hAnsi="宋体"/>
          <w:szCs w:val="21"/>
        </w:rPr>
        <w:t xml:space="preserve"> </w:t>
      </w:r>
      <w:r>
        <w:rPr>
          <w:rFonts w:hint="eastAsia" w:ascii="宋体" w:hAnsi="宋体"/>
          <w:szCs w:val="21"/>
        </w:rPr>
        <w:t>食品安全国家标准 食品接触用金属材料及制品</w:t>
      </w:r>
    </w:p>
    <w:p>
      <w:pPr>
        <w:adjustRightInd w:val="0"/>
        <w:snapToGrid w:val="0"/>
        <w:spacing w:line="360" w:lineRule="auto"/>
        <w:ind w:firstLine="420" w:firstLineChars="200"/>
        <w:rPr>
          <w:rFonts w:ascii="宋体" w:hAnsi="宋体"/>
          <w:szCs w:val="21"/>
        </w:rPr>
      </w:pPr>
      <w:r>
        <w:rPr>
          <w:rFonts w:hint="eastAsia" w:ascii="宋体" w:hAnsi="宋体"/>
          <w:szCs w:val="21"/>
        </w:rPr>
        <w:t>GB 4806.10-2016 食品安全国家标准  食品接触用涂料及涂层</w:t>
      </w:r>
    </w:p>
    <w:p>
      <w:pPr>
        <w:adjustRightInd w:val="0"/>
        <w:snapToGrid w:val="0"/>
        <w:spacing w:line="360" w:lineRule="auto"/>
        <w:ind w:firstLine="420" w:firstLineChars="200"/>
        <w:rPr>
          <w:rFonts w:ascii="宋体" w:hAnsi="宋体"/>
          <w:szCs w:val="21"/>
        </w:rPr>
      </w:pPr>
      <w:r>
        <w:rPr>
          <w:rFonts w:hint="eastAsia" w:ascii="宋体" w:hAnsi="宋体"/>
          <w:color w:val="000000"/>
          <w:szCs w:val="21"/>
        </w:rPr>
        <w:t>现行有效的企业标准、团体标准、地方标准及产品明示质量要求</w:t>
      </w:r>
    </w:p>
    <w:p>
      <w:pPr>
        <w:snapToGrid w:val="0"/>
        <w:spacing w:line="440" w:lineRule="exact"/>
        <w:outlineLvl w:val="0"/>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adjustRightInd w:val="0"/>
        <w:snapToGrid w:val="0"/>
        <w:spacing w:line="360" w:lineRule="auto"/>
        <w:ind w:firstLine="420" w:firstLineChars="200"/>
        <w:rPr>
          <w:rFonts w:ascii="黑体" w:hAnsi="宋体" w:eastAsia="黑体"/>
          <w:szCs w:val="21"/>
        </w:rPr>
      </w:pPr>
      <w:r>
        <w:rPr>
          <w:rFonts w:hint="eastAsia" w:ascii="宋体" w:hAnsi="宋体"/>
          <w:color w:val="000000"/>
          <w:szCs w:val="21"/>
        </w:rPr>
        <w:t>若被检产品明示的质量要求缺少本细则中检验项目依据的推荐性标准要求时，该项目不参与判定。</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5841799"/>
      <w:docPartObj>
        <w:docPartGallery w:val="autotext"/>
      </w:docPartObj>
    </w:sdtPr>
    <w:sdtContent>
      <w:p>
        <w:pPr>
          <w:pStyle w:val="2"/>
          <w:jc w:val="right"/>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613B7"/>
    <w:rsid w:val="000D2893"/>
    <w:rsid w:val="00326443"/>
    <w:rsid w:val="004C63E8"/>
    <w:rsid w:val="004D2989"/>
    <w:rsid w:val="005D1733"/>
    <w:rsid w:val="006F09C0"/>
    <w:rsid w:val="00997189"/>
    <w:rsid w:val="009E2642"/>
    <w:rsid w:val="00DE7E70"/>
    <w:rsid w:val="00E613B7"/>
    <w:rsid w:val="0D816D91"/>
    <w:rsid w:val="334226C5"/>
    <w:rsid w:val="35EF11B2"/>
    <w:rsid w:val="3C831D87"/>
    <w:rsid w:val="492D4C8A"/>
    <w:rsid w:val="66B138F1"/>
    <w:rsid w:val="78173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227</Words>
  <Characters>1294</Characters>
  <Lines>10</Lines>
  <Paragraphs>3</Paragraphs>
  <TotalTime>2</TotalTime>
  <ScaleCrop>false</ScaleCrop>
  <LinksUpToDate>false</LinksUpToDate>
  <CharactersWithSpaces>1518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2019-07-12T00:28:00Z</dcterms:created>
  <dc:creator>陈卓辉</dc:creator>
  <cp:lastModifiedBy>陈卓辉</cp:lastModifiedBy>
  <dcterms:modified xsi:type="dcterms:W3CDTF">2021-07-12T04:43:30Z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