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outlineLvl w:val="0"/>
        <w:rPr>
          <w:rFonts w:hint="eastAsia" w:ascii="黑体" w:hAnsi="黑体" w:eastAsia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活动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参与诚信承诺函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本单位自愿参加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2024年江门市</w:t>
      </w:r>
      <w:r>
        <w:rPr>
          <w:rFonts w:hint="eastAsia" w:ascii="仿宋_GB2312" w:hAnsi="仿宋_GB2312" w:eastAsia="仿宋_GB2312" w:cs="仿宋_GB2312"/>
          <w:sz w:val="32"/>
          <w:szCs w:val="32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电动自行车</w:t>
      </w:r>
      <w:r>
        <w:rPr>
          <w:rFonts w:hint="eastAsia" w:ascii="仿宋_GB2312" w:hAnsi="仿宋_GB2312" w:eastAsia="仿宋_GB2312" w:cs="仿宋_GB2312"/>
          <w:sz w:val="32"/>
          <w:szCs w:val="32"/>
        </w:rPr>
        <w:t>以旧换新促消费活动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了解并遵守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活动的</w:t>
      </w:r>
      <w:r>
        <w:rPr>
          <w:rFonts w:hint="eastAsia" w:ascii="仿宋_GB2312" w:hAnsi="仿宋_GB2312" w:eastAsia="仿宋_GB2312" w:cs="仿宋_GB2312"/>
          <w:sz w:val="32"/>
          <w:szCs w:val="32"/>
        </w:rPr>
        <w:t>规则要求，并承诺以下事项：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本单位为在江门市登记注册、取得营业执照并主营电动自行车销售商家，近三年内无重大违法违规和失信记录。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二、本单位具备健全的财务管理制度，使用对公账户进行电动自行车销售收款。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三、本单位具备与活动服务机构对接的能力，按要求布设活动所需的统一收银设备。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四、本单位具备电动自行车回收服务功能，承诺把回收的废旧电动自行车交予正规拆解企业。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加强销售网点现场管理，杜绝商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店</w:t>
      </w:r>
      <w:r>
        <w:rPr>
          <w:rFonts w:hint="eastAsia" w:ascii="仿宋_GB2312" w:hAnsi="仿宋_GB2312" w:eastAsia="仿宋_GB2312" w:cs="仿宋_GB2312"/>
          <w:sz w:val="32"/>
          <w:szCs w:val="32"/>
        </w:rPr>
        <w:t>内出现非法中介人员或驻店厂商人员向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电动自行车</w:t>
      </w:r>
      <w:r>
        <w:rPr>
          <w:rFonts w:hint="eastAsia" w:ascii="仿宋_GB2312" w:hAnsi="仿宋_GB2312" w:eastAsia="仿宋_GB2312" w:cs="仿宋_GB2312"/>
          <w:sz w:val="32"/>
          <w:szCs w:val="32"/>
        </w:rPr>
        <w:t>购买人兜售旧机或凭证。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本单位具备开具销售发票的能力，按照含税销售价格开具销售发票，发票涉及购买人信息、新电动自行车产品等各项信息如实、准确、规范填写。留存活动中所有销售电动自行车的发票、消费小票等票据，以备核查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、本单位具备活动宣传和处理消费者咨询、投诉的能力，将多渠道、准确地向消费者介绍政策使用情况，不误导、欺骗消费者，不乘机哄抬价格、变相涨价，不强制捆绑、搭售等，不虚假交易、骗补套补。如有违反上述承诺的情况，经有关单位查实，自愿接受取消参与活动资格的处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按要求布放活动宣传物料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提供不少于1种宣传物料支持，如海报、收银台台卡等。配套开展让利促销活动，扩大活动效果。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积极配合国家、省、市等有关部门提供相关活动审计材料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包括旧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电动自行车</w:t>
      </w:r>
      <w:r>
        <w:rPr>
          <w:rFonts w:hint="eastAsia" w:ascii="仿宋_GB2312" w:hAnsi="仿宋_GB2312" w:eastAsia="仿宋_GB2312" w:cs="仿宋_GB2312"/>
          <w:sz w:val="32"/>
          <w:szCs w:val="32"/>
        </w:rPr>
        <w:t>回收凭证、购买人姓名、身份证件号码、手机号码，交易订单小票、新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电动自行车</w:t>
      </w:r>
      <w:r>
        <w:rPr>
          <w:rFonts w:hint="eastAsia" w:ascii="仿宋_GB2312" w:hAnsi="仿宋_GB2312" w:eastAsia="仿宋_GB2312" w:cs="仿宋_GB2312"/>
          <w:sz w:val="32"/>
          <w:szCs w:val="32"/>
        </w:rPr>
        <w:t>发票、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新电动自行车合格证照片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等。确保购买新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电动自行车</w:t>
      </w:r>
      <w:r>
        <w:rPr>
          <w:rFonts w:hint="eastAsia" w:ascii="仿宋_GB2312" w:hAnsi="仿宋_GB2312" w:eastAsia="仿宋_GB2312" w:cs="仿宋_GB2312"/>
          <w:sz w:val="32"/>
          <w:szCs w:val="32"/>
        </w:rPr>
        <w:t>的发票金额与该笔订单交易的金额一致。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2" w:firstLineChars="200"/>
        <w:textAlignment w:val="auto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八、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真实、准确提供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商品编码信息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，包括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新车品牌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新车车架号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新车电池编号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电池类型、新车合格证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由于我单位提供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信息不符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错误、失真等造成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有关责任和资金损失，由我单位自行承担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</w:t>
      </w:r>
      <w:r>
        <w:rPr>
          <w:rFonts w:hint="eastAsia" w:ascii="仿宋_GB2312" w:hAnsi="仿宋_GB2312" w:eastAsia="仿宋_GB2312" w:cs="仿宋_GB2312"/>
          <w:sz w:val="32"/>
          <w:szCs w:val="32"/>
        </w:rPr>
        <w:t>诚信经营，保证商品质量和服务质量，杜绝假冒伪劣、以次充好、以旧充新的产品进入市场流通。主动制止任何方式套取财政资金的违反活动规则、恶意骗取优惠的行为。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</w:rPr>
        <w:t>、主办方有权通过后台技术手段监测营销活动实施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，如发现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参与活动骗取、套利等行为，主办方有权随时终止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参与活动资格并追回骗取的优惠资金。具体判定依据和结果以主办方认定为准。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十一</w:t>
      </w:r>
      <w:r>
        <w:rPr>
          <w:rFonts w:hint="eastAsia" w:ascii="仿宋_GB2312" w:hAnsi="仿宋_GB2312" w:eastAsia="仿宋_GB2312" w:cs="仿宋_GB2312"/>
          <w:sz w:val="32"/>
          <w:szCs w:val="32"/>
        </w:rPr>
        <w:t>、因本单位提供的服务及产品问题引发的用户投诉、处理和争议等，应由本单位自行负责解决，主办方不承担任何责任。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901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负责人（签字）：           单位名称（盖章）：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901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jc w:val="right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640" w:firstLineChars="200"/>
        <w:jc w:val="right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2024年  月  日   </w:t>
      </w:r>
    </w:p>
    <w:p/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MDA0MGE5NWQ2YzNkYWIyYzczNmNhYzlkZTMyMTkifQ=="/>
  </w:docVars>
  <w:rsids>
    <w:rsidRoot w:val="35DC4D06"/>
    <w:rsid w:val="35DC4D06"/>
    <w:rsid w:val="37DCA66A"/>
    <w:rsid w:val="7796726D"/>
    <w:rsid w:val="D7E56A33"/>
    <w:rsid w:val="E47FC936"/>
    <w:rsid w:val="E77EBE58"/>
    <w:rsid w:val="EDCB9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2024-09-13T08:09:00Z</dcterms:created>
  <dc:creator>张皓宇</dc:creator>
  <cp:lastModifiedBy>greatwall</cp:lastModifiedBy>
  <cp:lastPrinted>2024-09-13T08:09:00Z</cp:lastPrinted>
  <dcterms:modified xsi:type="dcterms:W3CDTF">2024-09-23T11:55:42Z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7AA82846499767B3DF39ED66CF08042F</vt:lpwstr>
  </property>
</Properties>
</file>