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hAnsi="方正小标宋简体" w:eastAsia="方正小标宋简体" w:cs="方正小标宋简体"/>
          <w:color w:val="000000"/>
          <w:kern w:val="0"/>
          <w:sz w:val="44"/>
          <w:szCs w:val="44"/>
        </w:rPr>
      </w:pPr>
      <w:bookmarkStart w:id="0" w:name="_GoBack"/>
      <w:bookmarkEnd w:id="0"/>
      <w:r>
        <w:rPr>
          <w:rFonts w:hint="eastAsia" w:ascii="方正小标宋简体" w:hAnsi="方正小标宋简体" w:eastAsia="方正小标宋简体" w:cs="方正小标宋简体"/>
          <w:color w:val="000000"/>
          <w:kern w:val="0"/>
          <w:sz w:val="44"/>
          <w:szCs w:val="44"/>
        </w:rPr>
        <w:t xml:space="preserve"> 2025年江门市住房保障宣传采购方案</w:t>
      </w:r>
    </w:p>
    <w:p>
      <w:pPr>
        <w:pStyle w:val="3"/>
        <w:jc w:val="left"/>
        <w:rPr>
          <w:rFonts w:hint="eastAsia" w:ascii="仿宋" w:hAnsi="仿宋" w:cs="仿宋"/>
          <w:color w:val="000000"/>
          <w:kern w:val="0"/>
          <w:sz w:val="32"/>
          <w:szCs w:val="32"/>
        </w:rPr>
      </w:pPr>
    </w:p>
    <w:p>
      <w:pPr>
        <w:pStyle w:val="3"/>
        <w:spacing w:line="580" w:lineRule="exact"/>
        <w:ind w:firstLine="600" w:firstLineChars="200"/>
        <w:jc w:val="both"/>
        <w:rPr>
          <w:rFonts w:hint="eastAsia" w:ascii="方正黑体_GBK" w:hAnsi="方正黑体_GBK" w:eastAsia="方正黑体_GBK" w:cs="方正黑体_GBK"/>
          <w:color w:val="000000"/>
          <w:kern w:val="0"/>
          <w:sz w:val="30"/>
          <w:szCs w:val="30"/>
        </w:rPr>
      </w:pPr>
      <w:r>
        <w:rPr>
          <w:rFonts w:hint="eastAsia" w:ascii="方正仿宋_GBK" w:hAnsi="方正仿宋_GBK" w:eastAsia="方正仿宋_GBK" w:cs="方正仿宋_GBK"/>
          <w:kern w:val="0"/>
          <w:sz w:val="30"/>
          <w:szCs w:val="30"/>
          <w:shd w:val="clear" w:color="FFFFFF" w:fill="auto"/>
        </w:rPr>
        <w:t>2025年是“十四五”规划收官之年，更是为“十五五”规划开好局打下基础的关键之年。为确保住房保障工作顺利推进，做好保障性住房建设和供给，提升住房保障工作质量，切实解决工薪收入住房困难，稳定工薪收入群体住房问题。市住房城乡建设局制定以下宣传采购方案，旨在通过多种渠道和形式，广泛宣传住房保障相关政策及信息，提升居民知晓率和满意度。具体如下：</w:t>
      </w:r>
    </w:p>
    <w:p>
      <w:pPr>
        <w:pStyle w:val="3"/>
        <w:spacing w:line="580" w:lineRule="exact"/>
        <w:ind w:firstLine="600" w:firstLineChars="200"/>
        <w:jc w:val="both"/>
        <w:rPr>
          <w:rFonts w:hint="eastAsia" w:ascii="方正黑体_GBK" w:hAnsi="方正黑体_GBK" w:eastAsia="方正黑体_GBK" w:cs="方正黑体_GBK"/>
          <w:color w:val="000000"/>
          <w:kern w:val="0"/>
          <w:sz w:val="30"/>
          <w:szCs w:val="30"/>
        </w:rPr>
      </w:pPr>
      <w:r>
        <w:rPr>
          <w:rFonts w:hint="eastAsia" w:ascii="方正黑体_GBK" w:hAnsi="方正黑体_GBK" w:eastAsia="方正黑体_GBK" w:cs="方正黑体_GBK"/>
          <w:color w:val="000000"/>
          <w:kern w:val="0"/>
          <w:sz w:val="30"/>
          <w:szCs w:val="30"/>
        </w:rPr>
        <w:t>一、采购内容</w:t>
      </w:r>
    </w:p>
    <w:p>
      <w:pPr>
        <w:pStyle w:val="3"/>
        <w:spacing w:line="580" w:lineRule="exact"/>
        <w:ind w:firstLine="600" w:firstLineChars="200"/>
        <w:jc w:val="both"/>
        <w:rPr>
          <w:rFonts w:ascii="方正仿宋_GBK" w:hAnsi="方正仿宋_GBK" w:eastAsia="方正仿宋_GBK" w:cs="方正仿宋_GBK"/>
          <w:color w:val="000000"/>
          <w:kern w:val="0"/>
          <w:sz w:val="30"/>
          <w:szCs w:val="30"/>
        </w:rPr>
      </w:pPr>
      <w:r>
        <w:rPr>
          <w:rFonts w:hint="eastAsia" w:ascii="方正仿宋_GBK" w:hAnsi="方正仿宋_GBK" w:eastAsia="方正仿宋_GBK" w:cs="方正仿宋_GBK"/>
          <w:color w:val="000000"/>
          <w:kern w:val="0"/>
          <w:sz w:val="30"/>
          <w:szCs w:val="30"/>
        </w:rPr>
        <w:t>根据《广东省城镇住房保障办法》《关于推进住房保障领域政府信息公开的工作方案》等相关要求，围绕2025年及“十四五”期间江门市住房保障工作成效，做好住房保障政策普及和江门市保障房宣传采购工作，需要拍摄制作宣传视频</w:t>
      </w:r>
      <w:r>
        <w:rPr>
          <w:rFonts w:hint="eastAsia" w:ascii="方正仿宋_GBK" w:hAnsi="方正仿宋_GBK" w:eastAsia="方正仿宋_GBK" w:cs="方正仿宋_GBK"/>
          <w:color w:val="000000"/>
          <w:kern w:val="0"/>
          <w:sz w:val="30"/>
          <w:szCs w:val="30"/>
          <w:lang w:val="en-US" w:eastAsia="zh-CN"/>
        </w:rPr>
        <w:t>4</w:t>
      </w:r>
      <w:r>
        <w:rPr>
          <w:rFonts w:hint="eastAsia" w:ascii="方正仿宋_GBK" w:hAnsi="方正仿宋_GBK" w:eastAsia="方正仿宋_GBK" w:cs="方正仿宋_GBK"/>
          <w:color w:val="000000"/>
          <w:kern w:val="0"/>
          <w:sz w:val="30"/>
          <w:szCs w:val="30"/>
        </w:rPr>
        <w:t>条，宣传手册设计成品1份、政策解读长图2幅、海报或宣传栏成品4幅（含平面设计与物料制作）等内容，并多渠道开展宣传推广。</w:t>
      </w:r>
    </w:p>
    <w:p>
      <w:pPr>
        <w:pStyle w:val="3"/>
        <w:spacing w:line="580" w:lineRule="exact"/>
        <w:ind w:firstLine="600" w:firstLineChars="200"/>
        <w:jc w:val="both"/>
        <w:rPr>
          <w:rFonts w:hint="eastAsia" w:ascii="方正黑体_GBK" w:hAnsi="方正黑体_GBK" w:eastAsia="方正黑体_GBK" w:cs="方正黑体_GBK"/>
          <w:color w:val="000000"/>
          <w:kern w:val="0"/>
          <w:sz w:val="30"/>
          <w:szCs w:val="30"/>
        </w:rPr>
      </w:pPr>
      <w:r>
        <w:rPr>
          <w:rFonts w:hint="eastAsia" w:ascii="方正黑体_GBK" w:hAnsi="方正黑体_GBK" w:eastAsia="方正黑体_GBK" w:cs="方正黑体_GBK"/>
          <w:color w:val="000000"/>
          <w:kern w:val="0"/>
          <w:sz w:val="30"/>
          <w:szCs w:val="30"/>
        </w:rPr>
        <w:t>二、具体要求</w:t>
      </w:r>
    </w:p>
    <w:p>
      <w:pPr>
        <w:pStyle w:val="3"/>
        <w:spacing w:line="580" w:lineRule="exact"/>
        <w:ind w:firstLine="600" w:firstLineChars="200"/>
        <w:jc w:val="both"/>
        <w:rPr>
          <w:rFonts w:hint="eastAsia" w:ascii="方正仿宋_GBK" w:hAnsi="方正仿宋_GBK" w:eastAsia="方正仿宋_GBK" w:cs="方正仿宋_GBK"/>
          <w:color w:val="000000"/>
          <w:kern w:val="0"/>
          <w:sz w:val="30"/>
          <w:szCs w:val="30"/>
        </w:rPr>
      </w:pPr>
      <w:r>
        <w:rPr>
          <w:rFonts w:hint="eastAsia" w:ascii="方正仿宋_GBK" w:hAnsi="方正仿宋_GBK" w:eastAsia="方正仿宋_GBK" w:cs="方正仿宋_GBK"/>
          <w:color w:val="000000"/>
          <w:kern w:val="0"/>
          <w:sz w:val="30"/>
          <w:szCs w:val="30"/>
        </w:rPr>
        <w:t>（一）视频策划</w:t>
      </w:r>
    </w:p>
    <w:p>
      <w:pPr>
        <w:pStyle w:val="3"/>
        <w:spacing w:line="580" w:lineRule="exact"/>
        <w:ind w:firstLine="600" w:firstLineChars="200"/>
        <w:jc w:val="both"/>
        <w:rPr>
          <w:rFonts w:hint="eastAsia" w:ascii="方正仿宋_GBK" w:hAnsi="方正仿宋_GBK" w:eastAsia="方正仿宋_GBK" w:cs="方正仿宋_GBK"/>
          <w:color w:val="000000"/>
          <w:kern w:val="0"/>
          <w:sz w:val="30"/>
          <w:szCs w:val="30"/>
        </w:rPr>
      </w:pPr>
      <w:r>
        <w:rPr>
          <w:rFonts w:hint="eastAsia" w:ascii="方正仿宋_GBK" w:hAnsi="方正仿宋_GBK" w:eastAsia="方正仿宋_GBK" w:cs="方正仿宋_GBK"/>
          <w:color w:val="000000"/>
          <w:kern w:val="0"/>
          <w:sz w:val="30"/>
          <w:szCs w:val="30"/>
        </w:rPr>
        <w:t>围绕主题以创意创新手法，拍摄制作短、平、快宣传科普类视频，视频主题内容如下：</w:t>
      </w:r>
    </w:p>
    <w:tbl>
      <w:tblPr>
        <w:tblStyle w:val="14"/>
        <w:tblW w:w="8778" w:type="dxa"/>
        <w:tblInd w:w="0" w:type="dxa"/>
        <w:tblLayout w:type="fixed"/>
        <w:tblCellMar>
          <w:top w:w="0" w:type="dxa"/>
          <w:left w:w="108" w:type="dxa"/>
          <w:bottom w:w="0" w:type="dxa"/>
          <w:right w:w="108" w:type="dxa"/>
        </w:tblCellMar>
      </w:tblPr>
      <w:tblGrid>
        <w:gridCol w:w="930"/>
        <w:gridCol w:w="3414"/>
        <w:gridCol w:w="1867"/>
        <w:gridCol w:w="1517"/>
        <w:gridCol w:w="1050"/>
      </w:tblGrid>
      <w:tr>
        <w:tblPrEx>
          <w:tblCellMar>
            <w:top w:w="0" w:type="dxa"/>
            <w:left w:w="108" w:type="dxa"/>
            <w:bottom w:w="0" w:type="dxa"/>
            <w:right w:w="108" w:type="dxa"/>
          </w:tblCellMar>
        </w:tblPrEx>
        <w:trPr>
          <w:trHeight w:val="773"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pStyle w:val="3"/>
              <w:spacing w:line="580" w:lineRule="exact"/>
              <w:jc w:val="center"/>
              <w:rPr>
                <w:rFonts w:hint="eastAsia" w:ascii="方正仿宋_GBK" w:hAnsi="方正仿宋_GBK" w:eastAsia="方正仿宋_GBK" w:cs="方正仿宋_GBK"/>
                <w:color w:val="000000"/>
                <w:kern w:val="0"/>
                <w:sz w:val="30"/>
                <w:szCs w:val="30"/>
              </w:rPr>
            </w:pPr>
            <w:r>
              <w:rPr>
                <w:rFonts w:hint="eastAsia" w:ascii="方正仿宋_GBK" w:hAnsi="方正仿宋_GBK" w:eastAsia="方正仿宋_GBK" w:cs="方正仿宋_GBK"/>
                <w:color w:val="000000"/>
                <w:kern w:val="0"/>
                <w:sz w:val="30"/>
                <w:szCs w:val="30"/>
              </w:rPr>
              <w:t>序号</w:t>
            </w:r>
          </w:p>
        </w:tc>
        <w:tc>
          <w:tcPr>
            <w:tcW w:w="3414" w:type="dxa"/>
            <w:tcBorders>
              <w:top w:val="single" w:color="000000" w:sz="4" w:space="0"/>
              <w:left w:val="single" w:color="000000" w:sz="4" w:space="0"/>
              <w:bottom w:val="single" w:color="000000" w:sz="4" w:space="0"/>
              <w:right w:val="single" w:color="000000" w:sz="4" w:space="0"/>
            </w:tcBorders>
            <w:noWrap w:val="0"/>
            <w:vAlign w:val="center"/>
          </w:tcPr>
          <w:p>
            <w:pPr>
              <w:pStyle w:val="3"/>
              <w:spacing w:line="580" w:lineRule="exact"/>
              <w:jc w:val="center"/>
              <w:rPr>
                <w:rFonts w:hint="eastAsia" w:ascii="方正仿宋_GBK" w:hAnsi="方正仿宋_GBK" w:eastAsia="方正仿宋_GBK" w:cs="方正仿宋_GBK"/>
                <w:color w:val="000000"/>
                <w:kern w:val="0"/>
                <w:sz w:val="30"/>
                <w:szCs w:val="30"/>
              </w:rPr>
            </w:pPr>
            <w:r>
              <w:rPr>
                <w:rFonts w:hint="eastAsia" w:ascii="方正仿宋_GBK" w:hAnsi="方正仿宋_GBK" w:eastAsia="方正仿宋_GBK" w:cs="方正仿宋_GBK"/>
                <w:color w:val="000000"/>
                <w:kern w:val="0"/>
                <w:sz w:val="30"/>
                <w:szCs w:val="30"/>
              </w:rPr>
              <w:t>视频名称</w:t>
            </w:r>
          </w:p>
        </w:tc>
        <w:tc>
          <w:tcPr>
            <w:tcW w:w="1867" w:type="dxa"/>
            <w:tcBorders>
              <w:top w:val="single" w:color="000000" w:sz="4" w:space="0"/>
              <w:left w:val="single" w:color="000000" w:sz="4" w:space="0"/>
              <w:bottom w:val="single" w:color="000000" w:sz="4" w:space="0"/>
              <w:right w:val="single" w:color="000000" w:sz="4" w:space="0"/>
            </w:tcBorders>
            <w:noWrap w:val="0"/>
            <w:vAlign w:val="center"/>
          </w:tcPr>
          <w:p>
            <w:pPr>
              <w:pStyle w:val="3"/>
              <w:spacing w:line="580" w:lineRule="exact"/>
              <w:jc w:val="center"/>
              <w:rPr>
                <w:rFonts w:hint="eastAsia" w:ascii="方正仿宋_GBK" w:hAnsi="方正仿宋_GBK" w:eastAsia="方正仿宋_GBK" w:cs="方正仿宋_GBK"/>
                <w:color w:val="000000"/>
                <w:kern w:val="0"/>
                <w:sz w:val="30"/>
                <w:szCs w:val="30"/>
              </w:rPr>
            </w:pPr>
            <w:r>
              <w:rPr>
                <w:rFonts w:hint="eastAsia" w:ascii="方正仿宋_GBK" w:hAnsi="方正仿宋_GBK" w:eastAsia="方正仿宋_GBK" w:cs="方正仿宋_GBK"/>
                <w:color w:val="000000"/>
                <w:kern w:val="0"/>
                <w:sz w:val="30"/>
                <w:szCs w:val="30"/>
              </w:rPr>
              <w:t>视频类型</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pStyle w:val="3"/>
              <w:spacing w:line="580" w:lineRule="exact"/>
              <w:jc w:val="center"/>
              <w:rPr>
                <w:rFonts w:hint="eastAsia" w:ascii="方正仿宋_GBK" w:hAnsi="方正仿宋_GBK" w:eastAsia="方正仿宋_GBK" w:cs="方正仿宋_GBK"/>
                <w:color w:val="000000"/>
                <w:kern w:val="0"/>
                <w:sz w:val="30"/>
                <w:szCs w:val="30"/>
              </w:rPr>
            </w:pPr>
            <w:r>
              <w:rPr>
                <w:rFonts w:hint="eastAsia" w:ascii="方正仿宋_GBK" w:hAnsi="方正仿宋_GBK" w:eastAsia="方正仿宋_GBK" w:cs="方正仿宋_GBK"/>
                <w:color w:val="000000"/>
                <w:kern w:val="0"/>
                <w:sz w:val="30"/>
                <w:szCs w:val="30"/>
              </w:rPr>
              <w:t>时长</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pStyle w:val="3"/>
              <w:spacing w:line="580" w:lineRule="exact"/>
              <w:jc w:val="center"/>
              <w:rPr>
                <w:rFonts w:hint="eastAsia" w:ascii="方正仿宋_GBK" w:hAnsi="方正仿宋_GBK" w:eastAsia="方正仿宋_GBK" w:cs="方正仿宋_GBK"/>
                <w:color w:val="000000"/>
                <w:kern w:val="0"/>
                <w:sz w:val="30"/>
                <w:szCs w:val="30"/>
              </w:rPr>
            </w:pPr>
            <w:r>
              <w:rPr>
                <w:rFonts w:hint="eastAsia" w:ascii="方正仿宋_GBK" w:hAnsi="方正仿宋_GBK" w:eastAsia="方正仿宋_GBK" w:cs="方正仿宋_GBK"/>
                <w:color w:val="000000"/>
                <w:kern w:val="0"/>
                <w:sz w:val="30"/>
                <w:szCs w:val="30"/>
              </w:rPr>
              <w:t>数量</w:t>
            </w:r>
          </w:p>
        </w:tc>
      </w:tr>
      <w:tr>
        <w:tblPrEx>
          <w:tblCellMar>
            <w:top w:w="0" w:type="dxa"/>
            <w:left w:w="108" w:type="dxa"/>
            <w:bottom w:w="0" w:type="dxa"/>
            <w:right w:w="108" w:type="dxa"/>
          </w:tblCellMar>
        </w:tblPrEx>
        <w:trPr>
          <w:trHeight w:val="1248"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pStyle w:val="3"/>
              <w:spacing w:line="580" w:lineRule="exact"/>
              <w:jc w:val="center"/>
              <w:rPr>
                <w:rFonts w:hint="eastAsia" w:ascii="方正仿宋_GBK" w:hAnsi="方正仿宋_GBK" w:eastAsia="方正仿宋_GBK" w:cs="方正仿宋_GBK"/>
                <w:color w:val="000000"/>
                <w:kern w:val="0"/>
                <w:sz w:val="30"/>
                <w:szCs w:val="30"/>
              </w:rPr>
            </w:pPr>
            <w:r>
              <w:rPr>
                <w:rFonts w:hint="eastAsia" w:ascii="方正仿宋_GBK" w:hAnsi="方正仿宋_GBK" w:eastAsia="方正仿宋_GBK" w:cs="方正仿宋_GBK"/>
                <w:color w:val="000000"/>
                <w:kern w:val="0"/>
                <w:sz w:val="30"/>
                <w:szCs w:val="30"/>
              </w:rPr>
              <w:t>1</w:t>
            </w:r>
          </w:p>
        </w:tc>
        <w:tc>
          <w:tcPr>
            <w:tcW w:w="3414" w:type="dxa"/>
            <w:tcBorders>
              <w:top w:val="single" w:color="000000" w:sz="4" w:space="0"/>
              <w:left w:val="single" w:color="000000" w:sz="4" w:space="0"/>
              <w:bottom w:val="single" w:color="000000" w:sz="4" w:space="0"/>
              <w:right w:val="single" w:color="000000" w:sz="4" w:space="0"/>
            </w:tcBorders>
            <w:noWrap w:val="0"/>
            <w:vAlign w:val="center"/>
          </w:tcPr>
          <w:p>
            <w:pPr>
              <w:pStyle w:val="3"/>
              <w:spacing w:line="580" w:lineRule="exact"/>
              <w:jc w:val="center"/>
              <w:rPr>
                <w:rFonts w:hint="eastAsia" w:ascii="方正仿宋_GBK" w:hAnsi="方正仿宋_GBK" w:eastAsia="方正仿宋_GBK" w:cs="方正仿宋_GBK"/>
                <w:color w:val="000000"/>
                <w:kern w:val="0"/>
                <w:sz w:val="30"/>
                <w:szCs w:val="30"/>
              </w:rPr>
            </w:pPr>
            <w:r>
              <w:rPr>
                <w:rFonts w:hint="eastAsia" w:ascii="方正仿宋_GBK" w:hAnsi="方正仿宋_GBK" w:eastAsia="方正仿宋_GBK" w:cs="方正仿宋_GBK"/>
                <w:color w:val="000000"/>
                <w:kern w:val="0"/>
                <w:sz w:val="30"/>
                <w:szCs w:val="30"/>
              </w:rPr>
              <w:t>住房保障工作成效宣传视频</w:t>
            </w:r>
          </w:p>
        </w:tc>
        <w:tc>
          <w:tcPr>
            <w:tcW w:w="1867" w:type="dxa"/>
            <w:tcBorders>
              <w:top w:val="single" w:color="000000" w:sz="4" w:space="0"/>
              <w:left w:val="single" w:color="000000" w:sz="4" w:space="0"/>
              <w:bottom w:val="single" w:color="000000" w:sz="4" w:space="0"/>
              <w:right w:val="single" w:color="000000" w:sz="4" w:space="0"/>
            </w:tcBorders>
            <w:noWrap w:val="0"/>
            <w:vAlign w:val="center"/>
          </w:tcPr>
          <w:p>
            <w:pPr>
              <w:pStyle w:val="3"/>
              <w:spacing w:line="580" w:lineRule="exact"/>
              <w:jc w:val="center"/>
              <w:rPr>
                <w:rFonts w:ascii="方正仿宋_GBK" w:hAnsi="方正仿宋_GBK" w:eastAsia="方正仿宋_GBK" w:cs="方正仿宋_GBK"/>
                <w:color w:val="000000"/>
                <w:kern w:val="0"/>
                <w:sz w:val="30"/>
                <w:szCs w:val="30"/>
              </w:rPr>
            </w:pPr>
            <w:r>
              <w:rPr>
                <w:rFonts w:hint="eastAsia" w:ascii="方正仿宋_GBK" w:hAnsi="方正仿宋_GBK" w:eastAsia="方正仿宋_GBK" w:cs="方正仿宋_GBK"/>
                <w:color w:val="000000"/>
                <w:kern w:val="0"/>
                <w:sz w:val="30"/>
                <w:szCs w:val="30"/>
              </w:rPr>
              <w:t>汇报宣传类</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pStyle w:val="3"/>
              <w:spacing w:line="580" w:lineRule="exact"/>
              <w:jc w:val="center"/>
              <w:rPr>
                <w:rFonts w:hint="eastAsia" w:ascii="方正仿宋_GBK" w:hAnsi="方正仿宋_GBK" w:eastAsia="方正仿宋_GBK" w:cs="方正仿宋_GBK"/>
                <w:color w:val="000000"/>
                <w:kern w:val="0"/>
                <w:sz w:val="30"/>
                <w:szCs w:val="30"/>
              </w:rPr>
            </w:pPr>
            <w:r>
              <w:rPr>
                <w:rFonts w:hint="eastAsia" w:ascii="方正仿宋_GBK" w:hAnsi="方正仿宋_GBK" w:eastAsia="方正仿宋_GBK" w:cs="方正仿宋_GBK"/>
                <w:color w:val="000000"/>
                <w:kern w:val="0"/>
                <w:sz w:val="30"/>
                <w:szCs w:val="30"/>
                <w:lang w:val="en-US" w:eastAsia="zh-CN"/>
              </w:rPr>
              <w:t>3</w:t>
            </w:r>
            <w:r>
              <w:rPr>
                <w:rFonts w:hint="eastAsia" w:ascii="方正仿宋_GBK" w:hAnsi="方正仿宋_GBK" w:eastAsia="方正仿宋_GBK" w:cs="方正仿宋_GBK"/>
                <w:color w:val="000000"/>
                <w:kern w:val="0"/>
                <w:sz w:val="30"/>
                <w:szCs w:val="30"/>
              </w:rPr>
              <w:t>分钟</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pStyle w:val="3"/>
              <w:spacing w:line="580" w:lineRule="exact"/>
              <w:jc w:val="center"/>
              <w:rPr>
                <w:rFonts w:hint="eastAsia" w:ascii="方正仿宋_GBK" w:hAnsi="方正仿宋_GBK" w:eastAsia="方正仿宋_GBK" w:cs="方正仿宋_GBK"/>
                <w:color w:val="000000"/>
                <w:kern w:val="0"/>
                <w:sz w:val="30"/>
                <w:szCs w:val="30"/>
              </w:rPr>
            </w:pPr>
            <w:r>
              <w:rPr>
                <w:rFonts w:hint="eastAsia" w:ascii="方正仿宋_GBK" w:hAnsi="方正仿宋_GBK" w:eastAsia="方正仿宋_GBK" w:cs="方正仿宋_GBK"/>
                <w:color w:val="000000"/>
                <w:kern w:val="0"/>
                <w:sz w:val="30"/>
                <w:szCs w:val="30"/>
              </w:rPr>
              <w:t>1条</w:t>
            </w:r>
          </w:p>
        </w:tc>
      </w:tr>
      <w:tr>
        <w:tblPrEx>
          <w:tblCellMar>
            <w:top w:w="0" w:type="dxa"/>
            <w:left w:w="108" w:type="dxa"/>
            <w:bottom w:w="0" w:type="dxa"/>
            <w:right w:w="108" w:type="dxa"/>
          </w:tblCellMar>
        </w:tblPrEx>
        <w:trPr>
          <w:trHeight w:val="1248"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pStyle w:val="3"/>
              <w:spacing w:line="580" w:lineRule="exact"/>
              <w:jc w:val="center"/>
              <w:rPr>
                <w:rFonts w:hint="eastAsia" w:ascii="方正仿宋_GBK" w:hAnsi="方正仿宋_GBK" w:eastAsia="方正仿宋_GBK" w:cs="方正仿宋_GBK"/>
                <w:color w:val="000000"/>
                <w:kern w:val="0"/>
                <w:sz w:val="30"/>
                <w:szCs w:val="30"/>
              </w:rPr>
            </w:pPr>
            <w:r>
              <w:rPr>
                <w:rFonts w:hint="eastAsia" w:ascii="方正仿宋_GBK" w:hAnsi="方正仿宋_GBK" w:eastAsia="方正仿宋_GBK" w:cs="方正仿宋_GBK"/>
                <w:color w:val="000000"/>
                <w:kern w:val="0"/>
                <w:sz w:val="30"/>
                <w:szCs w:val="30"/>
              </w:rPr>
              <w:t>2</w:t>
            </w:r>
          </w:p>
        </w:tc>
        <w:tc>
          <w:tcPr>
            <w:tcW w:w="3414" w:type="dxa"/>
            <w:tcBorders>
              <w:top w:val="single" w:color="000000" w:sz="4" w:space="0"/>
              <w:left w:val="single" w:color="000000" w:sz="4" w:space="0"/>
              <w:bottom w:val="single" w:color="000000" w:sz="4" w:space="0"/>
              <w:right w:val="single" w:color="000000" w:sz="4" w:space="0"/>
            </w:tcBorders>
            <w:noWrap w:val="0"/>
            <w:vAlign w:val="center"/>
          </w:tcPr>
          <w:p>
            <w:pPr>
              <w:pStyle w:val="3"/>
              <w:spacing w:line="580" w:lineRule="exact"/>
              <w:jc w:val="center"/>
              <w:rPr>
                <w:rFonts w:hint="eastAsia" w:ascii="方正仿宋_GBK" w:hAnsi="方正仿宋_GBK" w:eastAsia="方正仿宋_GBK" w:cs="方正仿宋_GBK"/>
                <w:color w:val="000000"/>
                <w:kern w:val="0"/>
                <w:sz w:val="30"/>
                <w:szCs w:val="30"/>
              </w:rPr>
            </w:pPr>
            <w:r>
              <w:rPr>
                <w:rFonts w:hint="eastAsia" w:ascii="方正仿宋_GBK" w:hAnsi="方正仿宋_GBK" w:eastAsia="方正仿宋_GBK" w:cs="方正仿宋_GBK"/>
                <w:color w:val="000000"/>
                <w:kern w:val="0"/>
                <w:sz w:val="30"/>
                <w:szCs w:val="30"/>
              </w:rPr>
              <w:t>住房保障政策宣传视频</w:t>
            </w:r>
          </w:p>
        </w:tc>
        <w:tc>
          <w:tcPr>
            <w:tcW w:w="1867" w:type="dxa"/>
            <w:tcBorders>
              <w:top w:val="single" w:color="000000" w:sz="4" w:space="0"/>
              <w:left w:val="single" w:color="000000" w:sz="4" w:space="0"/>
              <w:bottom w:val="single" w:color="000000" w:sz="4" w:space="0"/>
              <w:right w:val="single" w:color="000000" w:sz="4" w:space="0"/>
            </w:tcBorders>
            <w:noWrap w:val="0"/>
            <w:vAlign w:val="center"/>
          </w:tcPr>
          <w:p>
            <w:pPr>
              <w:pStyle w:val="3"/>
              <w:spacing w:line="580" w:lineRule="exact"/>
              <w:jc w:val="center"/>
              <w:rPr>
                <w:rFonts w:hint="eastAsia" w:ascii="方正仿宋_GBK" w:hAnsi="方正仿宋_GBK" w:eastAsia="方正仿宋_GBK" w:cs="方正仿宋_GBK"/>
                <w:color w:val="000000"/>
                <w:kern w:val="0"/>
                <w:sz w:val="30"/>
                <w:szCs w:val="30"/>
              </w:rPr>
            </w:pPr>
            <w:r>
              <w:rPr>
                <w:rFonts w:hint="eastAsia" w:ascii="方正仿宋_GBK" w:hAnsi="方正仿宋_GBK" w:eastAsia="方正仿宋_GBK" w:cs="方正仿宋_GBK"/>
                <w:color w:val="000000"/>
                <w:kern w:val="0"/>
                <w:sz w:val="30"/>
                <w:szCs w:val="30"/>
              </w:rPr>
              <w:t>政策科普类</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pStyle w:val="3"/>
              <w:spacing w:line="580" w:lineRule="exact"/>
              <w:jc w:val="center"/>
              <w:rPr>
                <w:rFonts w:hint="eastAsia" w:ascii="方正仿宋_GBK" w:hAnsi="方正仿宋_GBK" w:eastAsia="方正仿宋_GBK" w:cs="方正仿宋_GBK"/>
                <w:color w:val="000000"/>
                <w:kern w:val="0"/>
                <w:sz w:val="30"/>
                <w:szCs w:val="30"/>
              </w:rPr>
            </w:pPr>
            <w:r>
              <w:rPr>
                <w:rFonts w:hint="eastAsia" w:ascii="方正仿宋_GBK" w:hAnsi="方正仿宋_GBK" w:eastAsia="方正仿宋_GBK" w:cs="方正仿宋_GBK"/>
                <w:color w:val="000000"/>
                <w:kern w:val="0"/>
                <w:sz w:val="30"/>
                <w:szCs w:val="30"/>
                <w:lang w:eastAsia="zh-CN"/>
              </w:rPr>
              <w:t>每条</w:t>
            </w:r>
            <w:r>
              <w:rPr>
                <w:rFonts w:hint="eastAsia" w:ascii="方正仿宋_GBK" w:hAnsi="方正仿宋_GBK" w:eastAsia="方正仿宋_GBK" w:cs="方正仿宋_GBK"/>
                <w:color w:val="000000"/>
                <w:kern w:val="0"/>
                <w:sz w:val="30"/>
                <w:szCs w:val="30"/>
              </w:rPr>
              <w:t>2分钟</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pStyle w:val="3"/>
              <w:spacing w:line="580" w:lineRule="exact"/>
              <w:jc w:val="center"/>
              <w:rPr>
                <w:rFonts w:hint="eastAsia" w:ascii="方正仿宋_GBK" w:hAnsi="方正仿宋_GBK" w:eastAsia="方正仿宋_GBK" w:cs="方正仿宋_GBK"/>
                <w:color w:val="000000"/>
                <w:kern w:val="0"/>
                <w:sz w:val="30"/>
                <w:szCs w:val="30"/>
              </w:rPr>
            </w:pPr>
            <w:r>
              <w:rPr>
                <w:rFonts w:hint="eastAsia" w:ascii="方正仿宋_GBK" w:hAnsi="方正仿宋_GBK" w:eastAsia="方正仿宋_GBK" w:cs="方正仿宋_GBK"/>
                <w:color w:val="000000"/>
                <w:kern w:val="0"/>
                <w:sz w:val="30"/>
                <w:szCs w:val="30"/>
                <w:lang w:val="en-US" w:eastAsia="zh-CN"/>
              </w:rPr>
              <w:t>2</w:t>
            </w:r>
            <w:r>
              <w:rPr>
                <w:rFonts w:hint="eastAsia" w:ascii="方正仿宋_GBK" w:hAnsi="方正仿宋_GBK" w:eastAsia="方正仿宋_GBK" w:cs="方正仿宋_GBK"/>
                <w:color w:val="000000"/>
                <w:kern w:val="0"/>
                <w:sz w:val="30"/>
                <w:szCs w:val="30"/>
              </w:rPr>
              <w:t>条</w:t>
            </w:r>
          </w:p>
        </w:tc>
      </w:tr>
      <w:tr>
        <w:tblPrEx>
          <w:tblCellMar>
            <w:top w:w="0" w:type="dxa"/>
            <w:left w:w="108" w:type="dxa"/>
            <w:bottom w:w="0" w:type="dxa"/>
            <w:right w:w="108" w:type="dxa"/>
          </w:tblCellMar>
        </w:tblPrEx>
        <w:trPr>
          <w:trHeight w:val="1248"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pStyle w:val="3"/>
              <w:spacing w:line="580" w:lineRule="exact"/>
              <w:jc w:val="center"/>
              <w:rPr>
                <w:rFonts w:ascii="方正仿宋_GBK" w:hAnsi="方正仿宋_GBK" w:eastAsia="方正仿宋_GBK" w:cs="方正仿宋_GBK"/>
                <w:color w:val="000000"/>
                <w:kern w:val="0"/>
                <w:sz w:val="30"/>
                <w:szCs w:val="30"/>
              </w:rPr>
            </w:pPr>
            <w:r>
              <w:rPr>
                <w:rFonts w:hint="eastAsia" w:ascii="方正仿宋_GBK" w:hAnsi="方正仿宋_GBK" w:eastAsia="方正仿宋_GBK" w:cs="方正仿宋_GBK"/>
                <w:color w:val="000000"/>
                <w:kern w:val="0"/>
                <w:sz w:val="30"/>
                <w:szCs w:val="30"/>
              </w:rPr>
              <w:t>3</w:t>
            </w:r>
          </w:p>
        </w:tc>
        <w:tc>
          <w:tcPr>
            <w:tcW w:w="3414" w:type="dxa"/>
            <w:tcBorders>
              <w:top w:val="single" w:color="000000" w:sz="4" w:space="0"/>
              <w:left w:val="single" w:color="000000" w:sz="4" w:space="0"/>
              <w:bottom w:val="single" w:color="000000" w:sz="4" w:space="0"/>
              <w:right w:val="single" w:color="000000" w:sz="4" w:space="0"/>
            </w:tcBorders>
            <w:noWrap w:val="0"/>
            <w:vAlign w:val="center"/>
          </w:tcPr>
          <w:p>
            <w:pPr>
              <w:pStyle w:val="3"/>
              <w:spacing w:line="580" w:lineRule="exact"/>
              <w:jc w:val="center"/>
              <w:rPr>
                <w:rFonts w:ascii="方正仿宋_GBK" w:hAnsi="方正仿宋_GBK" w:eastAsia="方正仿宋_GBK" w:cs="方正仿宋_GBK"/>
                <w:color w:val="000000"/>
                <w:kern w:val="0"/>
                <w:sz w:val="30"/>
                <w:szCs w:val="30"/>
              </w:rPr>
            </w:pPr>
            <w:r>
              <w:rPr>
                <w:rFonts w:hint="eastAsia" w:ascii="方正仿宋_GBK" w:hAnsi="方正仿宋_GBK" w:eastAsia="方正仿宋_GBK" w:cs="方正仿宋_GBK"/>
                <w:color w:val="000000"/>
                <w:kern w:val="0"/>
                <w:sz w:val="30"/>
                <w:szCs w:val="30"/>
              </w:rPr>
              <w:t>住房保障日常宣传视频</w:t>
            </w:r>
          </w:p>
        </w:tc>
        <w:tc>
          <w:tcPr>
            <w:tcW w:w="1867" w:type="dxa"/>
            <w:tcBorders>
              <w:top w:val="single" w:color="000000" w:sz="4" w:space="0"/>
              <w:left w:val="single" w:color="000000" w:sz="4" w:space="0"/>
              <w:bottom w:val="single" w:color="000000" w:sz="4" w:space="0"/>
              <w:right w:val="single" w:color="000000" w:sz="4" w:space="0"/>
            </w:tcBorders>
            <w:noWrap w:val="0"/>
            <w:vAlign w:val="center"/>
          </w:tcPr>
          <w:p>
            <w:pPr>
              <w:pStyle w:val="3"/>
              <w:spacing w:line="580" w:lineRule="exact"/>
              <w:jc w:val="center"/>
              <w:rPr>
                <w:rFonts w:ascii="方正仿宋_GBK" w:hAnsi="方正仿宋_GBK" w:eastAsia="方正仿宋_GBK" w:cs="方正仿宋_GBK"/>
                <w:color w:val="000000"/>
                <w:kern w:val="0"/>
                <w:sz w:val="30"/>
                <w:szCs w:val="30"/>
              </w:rPr>
            </w:pPr>
            <w:r>
              <w:rPr>
                <w:rFonts w:hint="eastAsia" w:ascii="方正仿宋_GBK" w:hAnsi="方正仿宋_GBK" w:eastAsia="方正仿宋_GBK" w:cs="方正仿宋_GBK"/>
                <w:color w:val="000000"/>
                <w:kern w:val="0"/>
                <w:sz w:val="30"/>
                <w:szCs w:val="30"/>
              </w:rPr>
              <w:t>宣传推广类</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pStyle w:val="3"/>
              <w:spacing w:line="580" w:lineRule="exact"/>
              <w:jc w:val="center"/>
              <w:rPr>
                <w:rFonts w:ascii="方正仿宋_GBK" w:hAnsi="方正仿宋_GBK" w:eastAsia="方正仿宋_GBK" w:cs="方正仿宋_GBK"/>
                <w:color w:val="000000"/>
                <w:kern w:val="0"/>
                <w:sz w:val="30"/>
                <w:szCs w:val="30"/>
              </w:rPr>
            </w:pPr>
            <w:r>
              <w:rPr>
                <w:rFonts w:hint="eastAsia" w:ascii="方正仿宋_GBK" w:hAnsi="方正仿宋_GBK" w:eastAsia="方正仿宋_GBK" w:cs="方正仿宋_GBK"/>
                <w:color w:val="000000"/>
                <w:kern w:val="0"/>
                <w:sz w:val="30"/>
                <w:szCs w:val="30"/>
              </w:rPr>
              <w:t>2分钟</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pStyle w:val="3"/>
              <w:spacing w:line="580" w:lineRule="exact"/>
              <w:jc w:val="center"/>
              <w:rPr>
                <w:rFonts w:ascii="方正仿宋_GBK" w:hAnsi="方正仿宋_GBK" w:eastAsia="方正仿宋_GBK" w:cs="方正仿宋_GBK"/>
                <w:color w:val="000000"/>
                <w:kern w:val="0"/>
                <w:sz w:val="30"/>
                <w:szCs w:val="30"/>
              </w:rPr>
            </w:pPr>
            <w:r>
              <w:rPr>
                <w:rFonts w:hint="eastAsia" w:ascii="方正仿宋_GBK" w:hAnsi="方正仿宋_GBK" w:eastAsia="方正仿宋_GBK" w:cs="方正仿宋_GBK"/>
                <w:color w:val="000000"/>
                <w:kern w:val="0"/>
                <w:sz w:val="30"/>
                <w:szCs w:val="30"/>
              </w:rPr>
              <w:t>1条</w:t>
            </w:r>
          </w:p>
        </w:tc>
      </w:tr>
    </w:tbl>
    <w:p>
      <w:pPr>
        <w:pStyle w:val="3"/>
        <w:spacing w:line="580" w:lineRule="exact"/>
        <w:ind w:firstLine="600" w:firstLineChars="200"/>
        <w:jc w:val="both"/>
        <w:rPr>
          <w:rFonts w:hint="eastAsia" w:ascii="方正仿宋_GBK" w:hAnsi="方正仿宋_GBK" w:eastAsia="方正仿宋_GBK" w:cs="方正仿宋_GBK"/>
          <w:color w:val="000000"/>
          <w:kern w:val="0"/>
          <w:sz w:val="30"/>
          <w:szCs w:val="30"/>
        </w:rPr>
      </w:pPr>
      <w:r>
        <w:rPr>
          <w:rFonts w:hint="eastAsia" w:ascii="方正仿宋_GBK" w:hAnsi="方正仿宋_GBK" w:eastAsia="方正仿宋_GBK" w:cs="方正仿宋_GBK"/>
          <w:color w:val="000000"/>
          <w:kern w:val="0"/>
          <w:sz w:val="30"/>
          <w:szCs w:val="30"/>
        </w:rPr>
        <w:t>（二）平面宣传策划</w:t>
      </w:r>
    </w:p>
    <w:p>
      <w:pPr>
        <w:pStyle w:val="3"/>
        <w:spacing w:line="580" w:lineRule="exact"/>
        <w:ind w:firstLine="600" w:firstLineChars="200"/>
        <w:jc w:val="both"/>
        <w:rPr>
          <w:rFonts w:hint="eastAsia" w:ascii="方正仿宋_GBK" w:hAnsi="方正仿宋_GBK" w:eastAsia="方正仿宋_GBK" w:cs="方正仿宋_GBK"/>
          <w:color w:val="000000"/>
          <w:kern w:val="0"/>
          <w:sz w:val="30"/>
          <w:szCs w:val="30"/>
          <w:highlight w:val="none"/>
        </w:rPr>
      </w:pPr>
      <w:r>
        <w:rPr>
          <w:rFonts w:hint="eastAsia" w:ascii="方正仿宋_GBK" w:hAnsi="方正仿宋_GBK" w:eastAsia="方正仿宋_GBK" w:cs="方正仿宋_GBK"/>
          <w:color w:val="000000"/>
          <w:kern w:val="0"/>
          <w:sz w:val="30"/>
          <w:szCs w:val="30"/>
        </w:rPr>
        <w:t>根据市住房城乡建设局提供的宣传主题内容，安排专业设计师进行平面设计，设计内容包括宣传手册设计排版（不</w:t>
      </w:r>
      <w:r>
        <w:rPr>
          <w:rFonts w:hint="eastAsia" w:ascii="方正仿宋_GBK" w:hAnsi="方正仿宋_GBK" w:eastAsia="方正仿宋_GBK" w:cs="方正仿宋_GBK"/>
          <w:color w:val="000000"/>
          <w:kern w:val="0"/>
          <w:sz w:val="30"/>
          <w:szCs w:val="30"/>
          <w:highlight w:val="none"/>
        </w:rPr>
        <w:t>少于20页）、政策解读长图2幅、海报或宣传栏成品4幅（含平面设计和物料制作，海报需提供支架、宣传栏需提供张贴服务）。设计风格要求简洁明了，信息传达直接有效；要富有创意，融入江门的地域特色、文化元素，展现江门的城市魅力。</w:t>
      </w:r>
    </w:p>
    <w:p>
      <w:pPr>
        <w:pStyle w:val="3"/>
        <w:spacing w:line="580" w:lineRule="exact"/>
        <w:ind w:firstLine="600" w:firstLineChars="200"/>
        <w:jc w:val="both"/>
        <w:rPr>
          <w:rFonts w:hint="eastAsia" w:ascii="方正黑体_GBK" w:hAnsi="方正黑体_GBK" w:eastAsia="方正黑体_GBK" w:cs="方正黑体_GBK"/>
          <w:color w:val="000000"/>
          <w:kern w:val="0"/>
          <w:sz w:val="30"/>
          <w:szCs w:val="30"/>
          <w:highlight w:val="none"/>
        </w:rPr>
      </w:pPr>
      <w:r>
        <w:rPr>
          <w:rFonts w:hint="eastAsia" w:ascii="方正仿宋_GBK" w:hAnsi="方正仿宋_GBK" w:eastAsia="方正仿宋_GBK" w:cs="方正仿宋_GBK"/>
          <w:color w:val="000000"/>
          <w:kern w:val="0"/>
          <w:sz w:val="30"/>
          <w:szCs w:val="30"/>
          <w:highlight w:val="none"/>
        </w:rPr>
        <w:t>（三）拍摄制作</w:t>
      </w:r>
    </w:p>
    <w:p>
      <w:pPr>
        <w:pStyle w:val="3"/>
        <w:spacing w:line="580" w:lineRule="exact"/>
        <w:ind w:firstLine="600" w:firstLineChars="200"/>
        <w:jc w:val="both"/>
        <w:rPr>
          <w:rFonts w:hint="eastAsia" w:ascii="方正仿宋_GBK" w:hAnsi="方正仿宋_GBK" w:eastAsia="方正仿宋_GBK" w:cs="方正仿宋_GBK"/>
          <w:color w:val="000000"/>
          <w:kern w:val="0"/>
          <w:sz w:val="30"/>
          <w:szCs w:val="30"/>
          <w:highlight w:val="none"/>
        </w:rPr>
      </w:pPr>
      <w:r>
        <w:rPr>
          <w:rFonts w:hint="eastAsia" w:ascii="方正仿宋_GBK" w:hAnsi="方正仿宋_GBK" w:eastAsia="方正仿宋_GBK" w:cs="方正仿宋_GBK"/>
          <w:color w:val="000000"/>
          <w:kern w:val="0"/>
          <w:sz w:val="30"/>
          <w:szCs w:val="30"/>
          <w:highlight w:val="none"/>
        </w:rPr>
        <w:t>采用专业级高清设备，观感清晰流畅，后期成片输出为1080P高清格式的MP4播放格式文件。后期制作包含：影视剪辑、包装特效、后期调色、后期编曲混音；原素材交付和管理。</w:t>
      </w:r>
    </w:p>
    <w:p>
      <w:pPr>
        <w:pStyle w:val="3"/>
        <w:spacing w:line="580" w:lineRule="exact"/>
        <w:ind w:firstLine="600" w:firstLineChars="200"/>
        <w:jc w:val="both"/>
        <w:rPr>
          <w:rFonts w:hint="eastAsia" w:ascii="方正黑体_GBK" w:hAnsi="方正黑体_GBK" w:eastAsia="方正黑体_GBK" w:cs="方正黑体_GBK"/>
          <w:color w:val="000000"/>
          <w:kern w:val="0"/>
          <w:sz w:val="30"/>
          <w:szCs w:val="30"/>
          <w:highlight w:val="none"/>
        </w:rPr>
      </w:pPr>
      <w:r>
        <w:rPr>
          <w:rFonts w:hint="eastAsia" w:ascii="方正仿宋_GBK" w:hAnsi="方正仿宋_GBK" w:eastAsia="方正仿宋_GBK" w:cs="方正仿宋_GBK"/>
          <w:color w:val="000000"/>
          <w:kern w:val="0"/>
          <w:sz w:val="30"/>
          <w:szCs w:val="30"/>
          <w:highlight w:val="none"/>
        </w:rPr>
        <w:t>（四）成品要求</w:t>
      </w:r>
    </w:p>
    <w:p>
      <w:pPr>
        <w:pStyle w:val="3"/>
        <w:spacing w:line="580" w:lineRule="exact"/>
        <w:ind w:firstLine="600" w:firstLineChars="200"/>
        <w:jc w:val="both"/>
        <w:rPr>
          <w:rFonts w:hint="eastAsia" w:ascii="方正仿宋_GBK" w:hAnsi="方正仿宋_GBK" w:eastAsia="方正仿宋_GBK" w:cs="方正仿宋_GBK"/>
          <w:color w:val="000000"/>
          <w:kern w:val="0"/>
          <w:sz w:val="30"/>
          <w:szCs w:val="30"/>
          <w:highlight w:val="none"/>
        </w:rPr>
      </w:pPr>
      <w:r>
        <w:rPr>
          <w:rFonts w:hint="eastAsia" w:ascii="方正仿宋_GBK" w:hAnsi="方正仿宋_GBK" w:eastAsia="方正仿宋_GBK" w:cs="方正仿宋_GBK"/>
          <w:color w:val="000000"/>
          <w:kern w:val="0"/>
          <w:sz w:val="30"/>
          <w:szCs w:val="30"/>
          <w:highlight w:val="none"/>
        </w:rPr>
        <w:t>签订合同后，供应商需在2025年10月31日前完成全部采购内容制作，向采购人交付高清视频（</w:t>
      </w:r>
      <w:r>
        <w:rPr>
          <w:rFonts w:hint="eastAsia" w:ascii="方正仿宋_GBK" w:hAnsi="方正仿宋_GBK" w:eastAsia="方正仿宋_GBK" w:cs="方正仿宋_GBK"/>
          <w:color w:val="000000"/>
          <w:kern w:val="0"/>
          <w:sz w:val="30"/>
          <w:szCs w:val="30"/>
          <w:highlight w:val="none"/>
          <w:lang w:val="en-US" w:eastAsia="zh-CN"/>
        </w:rPr>
        <w:t>4</w:t>
      </w:r>
      <w:r>
        <w:rPr>
          <w:rFonts w:hint="eastAsia" w:ascii="方正仿宋_GBK" w:hAnsi="方正仿宋_GBK" w:eastAsia="方正仿宋_GBK" w:cs="方正仿宋_GBK"/>
          <w:color w:val="000000"/>
          <w:kern w:val="0"/>
          <w:sz w:val="30"/>
          <w:szCs w:val="30"/>
          <w:highlight w:val="none"/>
        </w:rPr>
        <w:t>条宣传视频）、宣传手册设计成品1份、政策解读长图2幅、海报或宣传栏成品4幅（含平面设计与物料制作）。视频及政策解读长图、海报或宣传栏电子版通过客户提供的邮箱或刻录光盘交付成品，海报或宣传栏实体成品根据采购人需要张贴在指定保障房小区或送至市住房城乡建设局。</w:t>
      </w:r>
    </w:p>
    <w:p>
      <w:pPr>
        <w:pStyle w:val="3"/>
        <w:spacing w:line="580" w:lineRule="exact"/>
        <w:ind w:firstLine="600" w:firstLineChars="200"/>
        <w:jc w:val="both"/>
        <w:rPr>
          <w:rFonts w:hint="eastAsia" w:ascii="方正黑体_GBK" w:hAnsi="方正黑体_GBK" w:eastAsia="方正黑体_GBK" w:cs="方正黑体_GBK"/>
          <w:color w:val="000000"/>
          <w:kern w:val="0"/>
          <w:sz w:val="30"/>
          <w:szCs w:val="30"/>
          <w:highlight w:val="none"/>
        </w:rPr>
      </w:pPr>
      <w:r>
        <w:rPr>
          <w:rFonts w:hint="eastAsia" w:ascii="方正黑体_GBK" w:hAnsi="方正黑体_GBK" w:eastAsia="方正黑体_GBK" w:cs="方正黑体_GBK"/>
          <w:color w:val="000000"/>
          <w:kern w:val="0"/>
          <w:sz w:val="30"/>
          <w:szCs w:val="30"/>
          <w:highlight w:val="none"/>
        </w:rPr>
        <w:t>三、服务费用</w:t>
      </w:r>
    </w:p>
    <w:p>
      <w:pPr>
        <w:pStyle w:val="3"/>
        <w:spacing w:line="580" w:lineRule="exact"/>
        <w:ind w:firstLine="600" w:firstLineChars="200"/>
        <w:jc w:val="both"/>
        <w:rPr>
          <w:rFonts w:hint="eastAsia" w:ascii="方正仿宋_GBK" w:hAnsi="方正仿宋_GBK" w:eastAsia="方正仿宋_GBK" w:cs="方正仿宋_GBK"/>
          <w:color w:val="000000"/>
          <w:kern w:val="0"/>
          <w:sz w:val="30"/>
          <w:szCs w:val="30"/>
          <w:highlight w:val="none"/>
        </w:rPr>
      </w:pPr>
      <w:r>
        <w:rPr>
          <w:rFonts w:hint="eastAsia" w:ascii="方正仿宋_GBK" w:hAnsi="方正仿宋_GBK" w:eastAsia="方正仿宋_GBK" w:cs="方正仿宋_GBK"/>
          <w:color w:val="000000"/>
          <w:kern w:val="0"/>
          <w:sz w:val="30"/>
          <w:szCs w:val="30"/>
          <w:highlight w:val="none"/>
        </w:rPr>
        <w:t>服务费用为完成服务内容及要求的全包价，采取总价包干方式，所有价格变动的风险均由供应商承担。本项目采购资金概算为人民币：壹拾万元整（￥100,000.00元）（含税），价格明细详见附表1。</w:t>
      </w:r>
    </w:p>
    <w:p>
      <w:pPr>
        <w:pStyle w:val="3"/>
        <w:spacing w:line="580" w:lineRule="exact"/>
        <w:ind w:firstLine="600" w:firstLineChars="200"/>
        <w:jc w:val="both"/>
        <w:rPr>
          <w:rFonts w:hint="eastAsia" w:ascii="方正黑体_GBK" w:hAnsi="方正黑体_GBK" w:eastAsia="方正黑体_GBK" w:cs="方正黑体_GBK"/>
          <w:color w:val="000000"/>
          <w:kern w:val="0"/>
          <w:sz w:val="30"/>
          <w:szCs w:val="30"/>
          <w:highlight w:val="none"/>
        </w:rPr>
      </w:pPr>
      <w:r>
        <w:rPr>
          <w:rFonts w:hint="eastAsia" w:ascii="方正黑体_GBK" w:hAnsi="方正黑体_GBK" w:eastAsia="方正黑体_GBK" w:cs="方正黑体_GBK"/>
          <w:color w:val="000000"/>
          <w:kern w:val="0"/>
          <w:sz w:val="30"/>
          <w:szCs w:val="30"/>
          <w:highlight w:val="none"/>
        </w:rPr>
        <w:t>四、项目付款方式</w:t>
      </w:r>
    </w:p>
    <w:p>
      <w:pPr>
        <w:pStyle w:val="3"/>
        <w:spacing w:line="580" w:lineRule="exact"/>
        <w:ind w:firstLine="600" w:firstLineChars="200"/>
        <w:jc w:val="both"/>
        <w:rPr>
          <w:rFonts w:hint="eastAsia" w:ascii="方正仿宋_GBK" w:hAnsi="方正仿宋_GBK" w:eastAsia="方正仿宋_GBK" w:cs="方正仿宋_GBK"/>
          <w:color w:val="000000"/>
          <w:kern w:val="0"/>
          <w:sz w:val="30"/>
          <w:szCs w:val="30"/>
          <w:highlight w:val="none"/>
        </w:rPr>
      </w:pPr>
      <w:r>
        <w:rPr>
          <w:rFonts w:hint="eastAsia" w:ascii="方正仿宋_GBK" w:hAnsi="方正仿宋_GBK" w:eastAsia="方正仿宋_GBK" w:cs="方正仿宋_GBK"/>
          <w:color w:val="000000"/>
          <w:kern w:val="0"/>
          <w:sz w:val="30"/>
          <w:szCs w:val="30"/>
          <w:highlight w:val="none"/>
        </w:rPr>
        <w:t>合同签订并生效后，支付合同总价款的60%；项目全部完成移交成果资料并通过验收后，支付剩余的合同价款。</w:t>
      </w:r>
    </w:p>
    <w:p>
      <w:pPr>
        <w:pStyle w:val="3"/>
        <w:spacing w:line="580" w:lineRule="exact"/>
        <w:ind w:firstLine="600" w:firstLineChars="200"/>
        <w:jc w:val="both"/>
        <w:rPr>
          <w:rFonts w:hint="eastAsia" w:ascii="方正仿宋_GBK" w:hAnsi="方正仿宋_GBK" w:eastAsia="方正仿宋_GBK" w:cs="方正仿宋_GBK"/>
          <w:color w:val="000000"/>
          <w:kern w:val="0"/>
          <w:sz w:val="30"/>
          <w:szCs w:val="30"/>
          <w:highlight w:val="none"/>
        </w:rPr>
      </w:pPr>
      <w:r>
        <w:rPr>
          <w:rFonts w:hint="eastAsia" w:ascii="方正仿宋_GBK" w:hAnsi="方正仿宋_GBK" w:eastAsia="方正仿宋_GBK" w:cs="方正仿宋_GBK"/>
          <w:color w:val="000000"/>
          <w:kern w:val="0"/>
          <w:sz w:val="30"/>
          <w:szCs w:val="30"/>
          <w:highlight w:val="none"/>
        </w:rPr>
        <w:t>因采购</w:t>
      </w:r>
      <w:r>
        <w:rPr>
          <w:rFonts w:hint="eastAsia" w:ascii="方正仿宋_GBK" w:hAnsi="方正仿宋_GBK" w:eastAsia="方正仿宋_GBK" w:cs="方正仿宋_GBK"/>
          <w:color w:val="auto"/>
          <w:kern w:val="0"/>
          <w:sz w:val="30"/>
          <w:szCs w:val="30"/>
          <w:highlight w:val="none"/>
          <w:lang w:val="en-US" w:eastAsia="zh-CN"/>
        </w:rPr>
        <w:t>人</w:t>
      </w:r>
      <w:r>
        <w:rPr>
          <w:rFonts w:hint="eastAsia" w:ascii="方正仿宋_GBK" w:hAnsi="方正仿宋_GBK" w:eastAsia="方正仿宋_GBK" w:cs="方正仿宋_GBK"/>
          <w:color w:val="auto"/>
          <w:kern w:val="0"/>
          <w:sz w:val="30"/>
          <w:szCs w:val="30"/>
          <w:highlight w:val="none"/>
        </w:rPr>
        <w:t>使用的是财政资金，在前款规定的付款时间为采购经办人发起支付申请手续的时间（不含相关手续审核时间），在规定时间内发起支付申请手续后即视为采购</w:t>
      </w:r>
      <w:r>
        <w:rPr>
          <w:rFonts w:hint="eastAsia" w:ascii="方正仿宋_GBK" w:hAnsi="方正仿宋_GBK" w:eastAsia="方正仿宋_GBK" w:cs="方正仿宋_GBK"/>
          <w:color w:val="auto"/>
          <w:kern w:val="0"/>
          <w:sz w:val="30"/>
          <w:szCs w:val="30"/>
          <w:highlight w:val="none"/>
          <w:lang w:val="en-US" w:eastAsia="zh-CN"/>
        </w:rPr>
        <w:t>人</w:t>
      </w:r>
      <w:r>
        <w:rPr>
          <w:rFonts w:hint="eastAsia" w:ascii="方正仿宋_GBK" w:hAnsi="方正仿宋_GBK" w:eastAsia="方正仿宋_GBK" w:cs="方正仿宋_GBK"/>
          <w:color w:val="auto"/>
          <w:kern w:val="0"/>
          <w:sz w:val="30"/>
          <w:szCs w:val="30"/>
          <w:highlight w:val="none"/>
        </w:rPr>
        <w:t>已经按期支付。因资金审批、财政拨款延迟等原因导致未能按时付款，采购</w:t>
      </w:r>
      <w:r>
        <w:rPr>
          <w:rFonts w:hint="eastAsia" w:ascii="方正仿宋_GBK" w:hAnsi="方正仿宋_GBK" w:eastAsia="方正仿宋_GBK" w:cs="方正仿宋_GBK"/>
          <w:color w:val="auto"/>
          <w:kern w:val="0"/>
          <w:sz w:val="30"/>
          <w:szCs w:val="30"/>
          <w:highlight w:val="none"/>
          <w:lang w:val="en-US" w:eastAsia="zh-CN"/>
        </w:rPr>
        <w:t>人</w:t>
      </w:r>
      <w:r>
        <w:rPr>
          <w:rFonts w:hint="eastAsia" w:ascii="方正仿宋_GBK" w:hAnsi="方正仿宋_GBK" w:eastAsia="方正仿宋_GBK" w:cs="方正仿宋_GBK"/>
          <w:color w:val="auto"/>
          <w:kern w:val="0"/>
          <w:sz w:val="30"/>
          <w:szCs w:val="30"/>
          <w:highlight w:val="none"/>
        </w:rPr>
        <w:t>不</w:t>
      </w:r>
      <w:r>
        <w:rPr>
          <w:rFonts w:hint="eastAsia" w:ascii="方正仿宋_GBK" w:hAnsi="方正仿宋_GBK" w:eastAsia="方正仿宋_GBK" w:cs="方正仿宋_GBK"/>
          <w:color w:val="000000"/>
          <w:kern w:val="0"/>
          <w:sz w:val="30"/>
          <w:szCs w:val="30"/>
          <w:highlight w:val="none"/>
        </w:rPr>
        <w:t>构成违约。</w:t>
      </w:r>
    </w:p>
    <w:p>
      <w:pPr>
        <w:pStyle w:val="3"/>
        <w:spacing w:line="580" w:lineRule="exact"/>
        <w:ind w:firstLine="600" w:firstLineChars="200"/>
        <w:jc w:val="both"/>
        <w:rPr>
          <w:rFonts w:hint="eastAsia" w:ascii="方正仿宋_GBK" w:hAnsi="方正仿宋_GBK" w:eastAsia="方正仿宋_GBK" w:cs="方正仿宋_GBK"/>
          <w:color w:val="000000"/>
          <w:kern w:val="0"/>
          <w:sz w:val="30"/>
          <w:szCs w:val="30"/>
          <w:highlight w:val="none"/>
        </w:rPr>
      </w:pPr>
      <w:r>
        <w:rPr>
          <w:rFonts w:hint="eastAsia" w:ascii="方正仿宋_GBK" w:hAnsi="方正仿宋_GBK" w:eastAsia="方正仿宋_GBK" w:cs="方正仿宋_GBK"/>
          <w:color w:val="000000"/>
          <w:kern w:val="0"/>
          <w:sz w:val="30"/>
          <w:szCs w:val="30"/>
          <w:highlight w:val="none"/>
        </w:rPr>
        <w:t>供应商向采购人申请付款时，需先提供相当于采购人付款金额的发票，且收款方、出具发票方、均必须与供应商合同名称一致，否则采购人有权拒绝付款。</w:t>
      </w:r>
    </w:p>
    <w:p>
      <w:pPr>
        <w:pStyle w:val="3"/>
        <w:spacing w:line="580" w:lineRule="exact"/>
        <w:ind w:firstLine="600" w:firstLineChars="200"/>
        <w:jc w:val="both"/>
        <w:rPr>
          <w:rFonts w:hint="eastAsia" w:ascii="方正仿宋_GBK" w:hAnsi="方正仿宋_GBK" w:eastAsia="方正仿宋_GBK" w:cs="方正仿宋_GBK"/>
          <w:color w:val="000000"/>
          <w:kern w:val="0"/>
          <w:sz w:val="30"/>
          <w:szCs w:val="30"/>
          <w:highlight w:val="none"/>
        </w:rPr>
      </w:pPr>
      <w:r>
        <w:rPr>
          <w:rFonts w:hint="eastAsia" w:ascii="方正仿宋_GBK" w:hAnsi="方正仿宋_GBK" w:eastAsia="方正仿宋_GBK" w:cs="方正仿宋_GBK"/>
          <w:color w:val="000000"/>
          <w:kern w:val="0"/>
          <w:sz w:val="30"/>
          <w:szCs w:val="30"/>
          <w:highlight w:val="none"/>
        </w:rPr>
        <w:t>采购人因资金审批、政策变动等原因，需要取消本次采购或解除合同的，采购人不承担违约责任。</w:t>
      </w:r>
    </w:p>
    <w:p>
      <w:pPr>
        <w:pStyle w:val="3"/>
        <w:spacing w:line="580" w:lineRule="exact"/>
        <w:ind w:firstLine="600" w:firstLineChars="200"/>
        <w:jc w:val="both"/>
        <w:rPr>
          <w:rFonts w:hint="eastAsia" w:ascii="方正黑体_GBK" w:hAnsi="方正黑体_GBK" w:eastAsia="方正黑体_GBK" w:cs="方正黑体_GBK"/>
          <w:color w:val="000000"/>
          <w:kern w:val="0"/>
          <w:sz w:val="30"/>
          <w:szCs w:val="30"/>
          <w:highlight w:val="none"/>
        </w:rPr>
      </w:pPr>
      <w:r>
        <w:rPr>
          <w:rFonts w:hint="eastAsia" w:ascii="方正黑体_GBK" w:hAnsi="方正黑体_GBK" w:eastAsia="方正黑体_GBK" w:cs="方正黑体_GBK"/>
          <w:color w:val="000000"/>
          <w:kern w:val="0"/>
          <w:sz w:val="30"/>
          <w:szCs w:val="30"/>
          <w:highlight w:val="none"/>
        </w:rPr>
        <w:t>五、采购方式</w:t>
      </w:r>
    </w:p>
    <w:p>
      <w:pPr>
        <w:pStyle w:val="3"/>
        <w:spacing w:line="580" w:lineRule="exact"/>
        <w:ind w:firstLine="600" w:firstLineChars="200"/>
        <w:jc w:val="both"/>
        <w:rPr>
          <w:rFonts w:hint="eastAsia" w:ascii="方正仿宋_GBK" w:hAnsi="方正仿宋_GBK" w:eastAsia="方正仿宋_GBK" w:cs="方正仿宋_GBK"/>
          <w:color w:val="000000"/>
          <w:kern w:val="0"/>
          <w:sz w:val="30"/>
          <w:szCs w:val="30"/>
          <w:highlight w:val="none"/>
        </w:rPr>
      </w:pPr>
      <w:r>
        <w:rPr>
          <w:rFonts w:hint="eastAsia" w:ascii="方正仿宋_GBK" w:hAnsi="方正仿宋_GBK" w:eastAsia="方正仿宋_GBK" w:cs="方正仿宋_GBK"/>
          <w:color w:val="000000"/>
          <w:kern w:val="0"/>
          <w:sz w:val="30"/>
          <w:szCs w:val="30"/>
          <w:highlight w:val="none"/>
        </w:rPr>
        <w:t>本次采购项目不</w:t>
      </w:r>
      <w:r>
        <w:rPr>
          <w:rFonts w:hint="eastAsia" w:ascii="方正仿宋_GBK" w:hAnsi="方正仿宋_GBK" w:eastAsia="方正仿宋_GBK" w:cs="方正仿宋_GBK"/>
          <w:color w:val="000000"/>
          <w:kern w:val="0"/>
          <w:sz w:val="30"/>
          <w:szCs w:val="30"/>
          <w:highlight w:val="none"/>
          <w:lang w:eastAsia="zh-CN"/>
        </w:rPr>
        <w:t>在</w:t>
      </w:r>
      <w:r>
        <w:rPr>
          <w:rFonts w:hint="eastAsia" w:ascii="方正仿宋_GBK" w:hAnsi="方正仿宋_GBK" w:eastAsia="方正仿宋_GBK" w:cs="方正仿宋_GBK"/>
          <w:color w:val="000000"/>
          <w:kern w:val="0"/>
          <w:sz w:val="30"/>
          <w:szCs w:val="30"/>
          <w:highlight w:val="none"/>
        </w:rPr>
        <w:t>《广东省政府集中采购目录及标准（2020年版）》目录内，按照《江门市住房和城乡建设局自行采购管理办法》规定，将通过江门市住房和城乡建设局门户网站发出采购公告，对三家及以上服务供应机构开展综合评定（采购人将根据《江门市住房保障宣传采购评分标准》），以综合评定得分最高者为中选机构，对采购报名的机构不足三家或符合资格要求机构不足三家的，终止采购并经调整方案后重新采购。</w:t>
      </w:r>
    </w:p>
    <w:p>
      <w:pPr>
        <w:pStyle w:val="3"/>
        <w:spacing w:line="580" w:lineRule="exact"/>
        <w:ind w:firstLine="600" w:firstLineChars="200"/>
        <w:jc w:val="both"/>
        <w:rPr>
          <w:rFonts w:hint="eastAsia" w:ascii="方正仿宋_GBK" w:hAnsi="方正仿宋_GBK" w:eastAsia="方正仿宋_GBK" w:cs="方正仿宋_GBK"/>
          <w:color w:val="000000"/>
          <w:kern w:val="0"/>
          <w:sz w:val="30"/>
          <w:szCs w:val="30"/>
          <w:highlight w:val="none"/>
        </w:rPr>
      </w:pPr>
      <w:r>
        <w:rPr>
          <w:rFonts w:hint="eastAsia" w:ascii="方正仿宋_GBK" w:hAnsi="方正仿宋_GBK" w:eastAsia="方正仿宋_GBK" w:cs="方正仿宋_GBK"/>
          <w:color w:val="000000"/>
          <w:kern w:val="0"/>
          <w:sz w:val="30"/>
          <w:szCs w:val="30"/>
          <w:highlight w:val="none"/>
        </w:rPr>
        <w:t>供应商响应文件需包含以下内容：</w:t>
      </w:r>
    </w:p>
    <w:p>
      <w:pPr>
        <w:pStyle w:val="3"/>
        <w:spacing w:line="580" w:lineRule="exact"/>
        <w:ind w:firstLine="600" w:firstLineChars="200"/>
        <w:jc w:val="both"/>
        <w:rPr>
          <w:rFonts w:hint="eastAsia" w:ascii="方正仿宋_GBK" w:hAnsi="方正仿宋_GBK" w:eastAsia="方正仿宋_GBK" w:cs="方正仿宋_GBK"/>
          <w:color w:val="000000"/>
          <w:kern w:val="0"/>
          <w:sz w:val="30"/>
          <w:szCs w:val="30"/>
          <w:highlight w:val="none"/>
        </w:rPr>
      </w:pPr>
      <w:r>
        <w:rPr>
          <w:rFonts w:hint="eastAsia" w:ascii="方正仿宋_GBK" w:hAnsi="方正仿宋_GBK" w:eastAsia="方正仿宋_GBK" w:cs="方正仿宋_GBK"/>
          <w:color w:val="000000"/>
          <w:kern w:val="0"/>
          <w:sz w:val="30"/>
          <w:szCs w:val="30"/>
          <w:highlight w:val="none"/>
        </w:rPr>
        <w:t>1.项目响应文件书</w:t>
      </w:r>
    </w:p>
    <w:p>
      <w:pPr>
        <w:pStyle w:val="3"/>
        <w:spacing w:line="580" w:lineRule="exact"/>
        <w:ind w:firstLine="600" w:firstLineChars="200"/>
        <w:jc w:val="both"/>
        <w:rPr>
          <w:rFonts w:hint="eastAsia" w:ascii="方正仿宋_GBK" w:hAnsi="方正仿宋_GBK" w:eastAsia="方正仿宋_GBK" w:cs="方正仿宋_GBK"/>
          <w:color w:val="000000"/>
          <w:kern w:val="0"/>
          <w:sz w:val="30"/>
          <w:szCs w:val="30"/>
          <w:highlight w:val="none"/>
        </w:rPr>
      </w:pPr>
      <w:r>
        <w:rPr>
          <w:rFonts w:hint="eastAsia" w:ascii="方正仿宋_GBK" w:hAnsi="方正仿宋_GBK" w:eastAsia="方正仿宋_GBK" w:cs="方正仿宋_GBK"/>
          <w:color w:val="000000"/>
          <w:kern w:val="0"/>
          <w:sz w:val="30"/>
          <w:szCs w:val="30"/>
          <w:highlight w:val="none"/>
        </w:rPr>
        <w:t>2.项目响应价格表</w:t>
      </w:r>
    </w:p>
    <w:p>
      <w:pPr>
        <w:pStyle w:val="3"/>
        <w:spacing w:line="580" w:lineRule="exact"/>
        <w:ind w:firstLine="600" w:firstLineChars="200"/>
        <w:jc w:val="both"/>
        <w:rPr>
          <w:rFonts w:hint="eastAsia" w:ascii="方正仿宋_GBK" w:hAnsi="方正仿宋_GBK" w:eastAsia="方正仿宋_GBK" w:cs="方正仿宋_GBK"/>
          <w:color w:val="000000"/>
          <w:kern w:val="0"/>
          <w:sz w:val="30"/>
          <w:szCs w:val="30"/>
          <w:highlight w:val="none"/>
        </w:rPr>
      </w:pPr>
      <w:r>
        <w:rPr>
          <w:rFonts w:hint="eastAsia" w:ascii="方正仿宋_GBK" w:hAnsi="方正仿宋_GBK" w:eastAsia="方正仿宋_GBK" w:cs="方正仿宋_GBK"/>
          <w:color w:val="000000"/>
          <w:kern w:val="0"/>
          <w:sz w:val="30"/>
          <w:szCs w:val="30"/>
          <w:highlight w:val="none"/>
        </w:rPr>
        <w:t>3.项目服务总体计划和项目实施方案（人员配备、工作设备等）</w:t>
      </w:r>
    </w:p>
    <w:p>
      <w:pPr>
        <w:pStyle w:val="3"/>
        <w:spacing w:line="580" w:lineRule="exact"/>
        <w:ind w:firstLine="600" w:firstLineChars="200"/>
        <w:jc w:val="both"/>
        <w:rPr>
          <w:rFonts w:hint="eastAsia" w:ascii="方正仿宋_GBK" w:hAnsi="方正仿宋_GBK" w:eastAsia="方正仿宋_GBK" w:cs="方正仿宋_GBK"/>
          <w:color w:val="000000"/>
          <w:kern w:val="0"/>
          <w:sz w:val="30"/>
          <w:szCs w:val="30"/>
          <w:highlight w:val="none"/>
        </w:rPr>
      </w:pPr>
      <w:r>
        <w:rPr>
          <w:rFonts w:hint="eastAsia" w:ascii="方正仿宋_GBK" w:hAnsi="方正仿宋_GBK" w:eastAsia="方正仿宋_GBK" w:cs="方正仿宋_GBK"/>
          <w:color w:val="000000"/>
          <w:kern w:val="0"/>
          <w:sz w:val="30"/>
          <w:szCs w:val="30"/>
          <w:highlight w:val="none"/>
        </w:rPr>
        <w:t>4.项目实施具体工作流程</w:t>
      </w:r>
    </w:p>
    <w:p>
      <w:pPr>
        <w:pStyle w:val="3"/>
        <w:spacing w:line="580" w:lineRule="exact"/>
        <w:ind w:firstLine="600" w:firstLineChars="200"/>
        <w:jc w:val="both"/>
        <w:rPr>
          <w:rFonts w:hint="eastAsia" w:ascii="方正仿宋_GBK" w:hAnsi="方正仿宋_GBK" w:eastAsia="方正仿宋_GBK" w:cs="方正仿宋_GBK"/>
          <w:color w:val="000000"/>
          <w:kern w:val="0"/>
          <w:sz w:val="30"/>
          <w:szCs w:val="30"/>
          <w:highlight w:val="none"/>
        </w:rPr>
      </w:pPr>
      <w:r>
        <w:rPr>
          <w:rFonts w:hint="eastAsia" w:ascii="方正仿宋_GBK" w:hAnsi="方正仿宋_GBK" w:eastAsia="方正仿宋_GBK" w:cs="方正仿宋_GBK"/>
          <w:color w:val="000000"/>
          <w:kern w:val="0"/>
          <w:sz w:val="30"/>
          <w:szCs w:val="30"/>
          <w:highlight w:val="none"/>
        </w:rPr>
        <w:t>5.供应商经营业务、业绩情况</w:t>
      </w:r>
    </w:p>
    <w:p>
      <w:pPr>
        <w:pStyle w:val="3"/>
        <w:spacing w:line="580" w:lineRule="exact"/>
        <w:ind w:firstLine="600" w:firstLineChars="200"/>
        <w:jc w:val="both"/>
        <w:rPr>
          <w:rFonts w:hint="eastAsia" w:ascii="方正仿宋_GBK" w:hAnsi="方正仿宋_GBK" w:eastAsia="方正仿宋_GBK" w:cs="方正仿宋_GBK"/>
          <w:color w:val="000000"/>
          <w:kern w:val="0"/>
          <w:sz w:val="30"/>
          <w:szCs w:val="30"/>
          <w:highlight w:val="none"/>
        </w:rPr>
      </w:pPr>
      <w:r>
        <w:rPr>
          <w:rFonts w:hint="eastAsia" w:ascii="方正仿宋_GBK" w:hAnsi="方正仿宋_GBK" w:eastAsia="方正仿宋_GBK" w:cs="方正仿宋_GBK"/>
          <w:color w:val="000000"/>
          <w:kern w:val="0"/>
          <w:sz w:val="30"/>
          <w:szCs w:val="30"/>
          <w:highlight w:val="none"/>
        </w:rPr>
        <w:t>6.供应商人员安排信息情况（含购买社保信息）</w:t>
      </w:r>
    </w:p>
    <w:p>
      <w:pPr>
        <w:pStyle w:val="3"/>
        <w:spacing w:line="580" w:lineRule="exact"/>
        <w:ind w:firstLine="600" w:firstLineChars="200"/>
        <w:jc w:val="both"/>
        <w:rPr>
          <w:rFonts w:hint="eastAsia" w:ascii="方正仿宋_GBK" w:hAnsi="方正仿宋_GBK" w:eastAsia="方正仿宋_GBK" w:cs="方正仿宋_GBK"/>
          <w:color w:val="000000"/>
          <w:kern w:val="0"/>
          <w:sz w:val="30"/>
          <w:szCs w:val="30"/>
          <w:highlight w:val="none"/>
        </w:rPr>
      </w:pPr>
      <w:r>
        <w:rPr>
          <w:rFonts w:hint="eastAsia" w:ascii="方正仿宋_GBK" w:hAnsi="方正仿宋_GBK" w:eastAsia="方正仿宋_GBK" w:cs="方正仿宋_GBK"/>
          <w:color w:val="000000"/>
          <w:kern w:val="0"/>
          <w:sz w:val="30"/>
          <w:szCs w:val="30"/>
          <w:highlight w:val="none"/>
        </w:rPr>
        <w:t>7.项目售后服务内容</w:t>
      </w:r>
    </w:p>
    <w:p>
      <w:pPr>
        <w:pStyle w:val="3"/>
        <w:spacing w:line="580" w:lineRule="exact"/>
        <w:ind w:firstLine="600" w:firstLineChars="200"/>
        <w:jc w:val="both"/>
        <w:rPr>
          <w:rFonts w:hint="eastAsia" w:ascii="方正仿宋_GBK" w:hAnsi="方正仿宋_GBK" w:eastAsia="方正仿宋_GBK" w:cs="方正仿宋_GBK"/>
          <w:color w:val="000000"/>
          <w:kern w:val="0"/>
          <w:sz w:val="30"/>
          <w:szCs w:val="30"/>
          <w:highlight w:val="none"/>
        </w:rPr>
      </w:pPr>
      <w:r>
        <w:rPr>
          <w:rFonts w:hint="eastAsia" w:ascii="方正仿宋_GBK" w:hAnsi="方正仿宋_GBK" w:eastAsia="方正仿宋_GBK" w:cs="方正仿宋_GBK"/>
          <w:color w:val="000000"/>
          <w:kern w:val="0"/>
          <w:sz w:val="30"/>
          <w:szCs w:val="30"/>
          <w:highlight w:val="none"/>
        </w:rPr>
        <w:t>8.供应商资质资料</w:t>
      </w:r>
      <w:r>
        <w:rPr>
          <w:rFonts w:hint="eastAsia" w:ascii="方正仿宋_GBK" w:hAnsi="方正仿宋_GBK" w:eastAsia="方正仿宋_GBK" w:cs="方正仿宋_GBK"/>
          <w:color w:val="000000"/>
          <w:kern w:val="0"/>
          <w:sz w:val="30"/>
          <w:szCs w:val="30"/>
          <w:highlight w:val="none"/>
        </w:rPr>
        <w:tab/>
      </w:r>
    </w:p>
    <w:p>
      <w:pPr>
        <w:pStyle w:val="3"/>
        <w:spacing w:line="580" w:lineRule="exact"/>
        <w:ind w:firstLine="600" w:firstLineChars="200"/>
        <w:jc w:val="both"/>
        <w:rPr>
          <w:rFonts w:hint="eastAsia" w:ascii="方正黑体_GBK" w:hAnsi="方正黑体_GBK" w:eastAsia="方正黑体_GBK" w:cs="方正黑体_GBK"/>
          <w:color w:val="000000"/>
          <w:kern w:val="0"/>
          <w:sz w:val="30"/>
          <w:szCs w:val="30"/>
          <w:highlight w:val="none"/>
        </w:rPr>
      </w:pPr>
      <w:r>
        <w:rPr>
          <w:rFonts w:hint="eastAsia" w:ascii="方正黑体_GBK" w:hAnsi="方正黑体_GBK" w:eastAsia="方正黑体_GBK" w:cs="方正黑体_GBK"/>
          <w:color w:val="000000"/>
          <w:kern w:val="0"/>
          <w:sz w:val="30"/>
          <w:szCs w:val="30"/>
          <w:highlight w:val="none"/>
        </w:rPr>
        <w:t>六、供应商资质要求</w:t>
      </w:r>
    </w:p>
    <w:p>
      <w:pPr>
        <w:pStyle w:val="3"/>
        <w:spacing w:line="580" w:lineRule="exact"/>
        <w:ind w:firstLine="600" w:firstLineChars="200"/>
        <w:jc w:val="both"/>
        <w:rPr>
          <w:rFonts w:hint="eastAsia" w:ascii="方正仿宋_GBK" w:hAnsi="方正仿宋_GBK" w:eastAsia="方正仿宋_GBK" w:cs="方正仿宋_GBK"/>
          <w:color w:val="000000"/>
          <w:kern w:val="0"/>
          <w:sz w:val="30"/>
          <w:szCs w:val="30"/>
          <w:highlight w:val="none"/>
        </w:rPr>
      </w:pPr>
      <w:r>
        <w:rPr>
          <w:rFonts w:hint="eastAsia" w:ascii="方正仿宋_GBK" w:hAnsi="方正仿宋_GBK" w:eastAsia="方正仿宋_GBK" w:cs="方正仿宋_GBK"/>
          <w:color w:val="000000"/>
          <w:kern w:val="0"/>
          <w:sz w:val="30"/>
          <w:szCs w:val="30"/>
          <w:highlight w:val="none"/>
        </w:rPr>
        <w:t>1.供应商应具有影视拍摄制作资质，国家颁发互联网新闻信息服务许可证、网媒体宣传广告资质。</w:t>
      </w:r>
    </w:p>
    <w:p>
      <w:pPr>
        <w:pStyle w:val="3"/>
        <w:spacing w:line="580" w:lineRule="exact"/>
        <w:ind w:firstLine="600" w:firstLineChars="200"/>
        <w:jc w:val="both"/>
        <w:rPr>
          <w:rFonts w:hint="eastAsia" w:ascii="方正仿宋_GBK" w:hAnsi="方正仿宋_GBK" w:eastAsia="方正仿宋_GBK" w:cs="方正仿宋_GBK"/>
          <w:color w:val="000000"/>
          <w:kern w:val="0"/>
          <w:sz w:val="30"/>
          <w:szCs w:val="30"/>
          <w:highlight w:val="none"/>
        </w:rPr>
      </w:pPr>
      <w:r>
        <w:rPr>
          <w:rFonts w:hint="eastAsia" w:ascii="方正仿宋_GBK" w:hAnsi="方正仿宋_GBK" w:eastAsia="方正仿宋_GBK" w:cs="方正仿宋_GBK"/>
          <w:color w:val="000000"/>
          <w:kern w:val="0"/>
          <w:sz w:val="30"/>
          <w:szCs w:val="30"/>
          <w:highlight w:val="none"/>
        </w:rPr>
        <w:t>2.供应商应成立项目组，派5名或以上具有相关项目执行经验人员和专业技术人员（含项目负责人）专责开展视频拍摄宣传工作。</w:t>
      </w:r>
    </w:p>
    <w:p>
      <w:pPr>
        <w:pStyle w:val="3"/>
        <w:spacing w:line="580" w:lineRule="exact"/>
        <w:ind w:firstLine="600" w:firstLineChars="200"/>
        <w:jc w:val="both"/>
        <w:rPr>
          <w:rFonts w:hint="eastAsia" w:ascii="方正仿宋_GBK" w:hAnsi="方正仿宋_GBK" w:eastAsia="方正仿宋_GBK" w:cs="方正仿宋_GBK"/>
          <w:color w:val="000000"/>
          <w:kern w:val="0"/>
          <w:sz w:val="30"/>
          <w:szCs w:val="30"/>
          <w:highlight w:val="none"/>
        </w:rPr>
      </w:pPr>
      <w:r>
        <w:rPr>
          <w:rFonts w:hint="eastAsia" w:ascii="方正仿宋_GBK" w:hAnsi="方正仿宋_GBK" w:eastAsia="方正仿宋_GBK" w:cs="方正仿宋_GBK"/>
          <w:color w:val="000000"/>
          <w:kern w:val="0"/>
          <w:sz w:val="30"/>
          <w:szCs w:val="30"/>
          <w:highlight w:val="none"/>
        </w:rPr>
        <w:t>3.供应商应当具备《中华人民共和国政府采购法》第二十二条规定的条件。</w:t>
      </w:r>
    </w:p>
    <w:p>
      <w:pPr>
        <w:pStyle w:val="3"/>
        <w:spacing w:line="580" w:lineRule="exact"/>
        <w:ind w:firstLine="600" w:firstLineChars="200"/>
        <w:jc w:val="both"/>
        <w:rPr>
          <w:rFonts w:hint="eastAsia" w:ascii="方正仿宋_GBK" w:hAnsi="方正仿宋_GBK" w:eastAsia="方正仿宋_GBK" w:cs="方正仿宋_GBK"/>
          <w:color w:val="000000"/>
          <w:kern w:val="0"/>
          <w:sz w:val="30"/>
          <w:szCs w:val="30"/>
          <w:highlight w:val="none"/>
        </w:rPr>
      </w:pPr>
      <w:r>
        <w:rPr>
          <w:rFonts w:hint="eastAsia" w:ascii="方正仿宋_GBK" w:hAnsi="方正仿宋_GBK" w:eastAsia="方正仿宋_GBK" w:cs="方正仿宋_GBK"/>
          <w:color w:val="000000"/>
          <w:kern w:val="0"/>
          <w:sz w:val="30"/>
          <w:szCs w:val="30"/>
          <w:highlight w:val="none"/>
        </w:rPr>
        <w:t>4.供应商应当是具有合法经营资格的法人或其他组织，提供有效的企业法人营业执照（或事业法人登记证）或者其他组织的营业执照复印件。</w:t>
      </w:r>
    </w:p>
    <w:p>
      <w:pPr>
        <w:pStyle w:val="3"/>
        <w:spacing w:line="580" w:lineRule="exact"/>
        <w:ind w:firstLine="600" w:firstLineChars="200"/>
        <w:jc w:val="both"/>
        <w:rPr>
          <w:rFonts w:hint="eastAsia" w:ascii="方正仿宋_GBK" w:hAnsi="方正仿宋_GBK" w:eastAsia="方正仿宋_GBK" w:cs="方正仿宋_GBK"/>
          <w:color w:val="000000"/>
          <w:kern w:val="0"/>
          <w:sz w:val="30"/>
          <w:szCs w:val="30"/>
          <w:highlight w:val="none"/>
        </w:rPr>
      </w:pPr>
      <w:r>
        <w:rPr>
          <w:rFonts w:hint="eastAsia" w:ascii="方正仿宋_GBK" w:hAnsi="方正仿宋_GBK" w:eastAsia="方正仿宋_GBK" w:cs="方正仿宋_GBK"/>
          <w:color w:val="000000"/>
          <w:kern w:val="0"/>
          <w:sz w:val="30"/>
          <w:szCs w:val="30"/>
          <w:highlight w:val="none"/>
        </w:rPr>
        <w:t>5.供应商未被列入“信用中国”网站“失信被执行人或重大税收违法案件当事人名单或政府采购严重违法失信行为”记录名单；不处于中国政府采购网（www.ccgp.gov.cn）“政府采购严重违法失信行为信息记录”中的禁止参加政府采购活动期间。</w:t>
      </w:r>
    </w:p>
    <w:p>
      <w:pPr>
        <w:pStyle w:val="3"/>
        <w:spacing w:line="580" w:lineRule="exact"/>
        <w:ind w:firstLine="600" w:firstLineChars="200"/>
        <w:jc w:val="both"/>
        <w:rPr>
          <w:rFonts w:hint="eastAsia" w:ascii="方正黑体_GBK" w:hAnsi="方正黑体_GBK" w:eastAsia="方正黑体_GBK" w:cs="方正黑体_GBK"/>
          <w:color w:val="000000"/>
          <w:kern w:val="0"/>
          <w:sz w:val="30"/>
          <w:szCs w:val="30"/>
          <w:highlight w:val="none"/>
        </w:rPr>
      </w:pPr>
      <w:r>
        <w:rPr>
          <w:rFonts w:hint="eastAsia" w:ascii="方正黑体_GBK" w:hAnsi="方正黑体_GBK" w:eastAsia="方正黑体_GBK" w:cs="方正黑体_GBK"/>
          <w:color w:val="000000"/>
          <w:kern w:val="0"/>
          <w:sz w:val="30"/>
          <w:szCs w:val="30"/>
          <w:highlight w:val="none"/>
        </w:rPr>
        <w:t>七、验收方式</w:t>
      </w:r>
    </w:p>
    <w:p>
      <w:pPr>
        <w:pStyle w:val="3"/>
        <w:spacing w:line="580" w:lineRule="exact"/>
        <w:ind w:firstLine="600" w:firstLineChars="200"/>
        <w:jc w:val="both"/>
        <w:rPr>
          <w:rFonts w:hint="eastAsia" w:ascii="方正仿宋_GBK" w:hAnsi="方正仿宋_GBK" w:eastAsia="方正仿宋_GBK" w:cs="方正仿宋_GBK"/>
          <w:color w:val="000000"/>
          <w:kern w:val="0"/>
          <w:sz w:val="30"/>
          <w:szCs w:val="30"/>
          <w:highlight w:val="none"/>
        </w:rPr>
      </w:pPr>
      <w:r>
        <w:rPr>
          <w:rFonts w:hint="eastAsia" w:ascii="方正仿宋_GBK" w:hAnsi="方正仿宋_GBK" w:eastAsia="方正仿宋_GBK" w:cs="方正仿宋_GBK"/>
          <w:color w:val="000000"/>
          <w:kern w:val="0"/>
          <w:sz w:val="30"/>
          <w:szCs w:val="30"/>
          <w:highlight w:val="none"/>
        </w:rPr>
        <w:t>供应商合同服务期内完成合同全部服务内容后，并由采购人按照程序对合同规定的具体服务内容事项组织验收。</w:t>
      </w:r>
    </w:p>
    <w:p>
      <w:pPr>
        <w:pStyle w:val="3"/>
        <w:spacing w:line="580" w:lineRule="exact"/>
        <w:ind w:firstLine="600" w:firstLineChars="200"/>
        <w:jc w:val="both"/>
        <w:rPr>
          <w:rFonts w:hint="eastAsia" w:ascii="方正黑体_GBK" w:hAnsi="方正黑体_GBK" w:eastAsia="方正黑体_GBK" w:cs="方正黑体_GBK"/>
          <w:color w:val="000000"/>
          <w:kern w:val="0"/>
          <w:sz w:val="30"/>
          <w:szCs w:val="30"/>
          <w:highlight w:val="none"/>
        </w:rPr>
      </w:pPr>
      <w:r>
        <w:rPr>
          <w:rFonts w:hint="eastAsia" w:ascii="方正黑体_GBK" w:hAnsi="方正黑体_GBK" w:eastAsia="方正黑体_GBK" w:cs="方正黑体_GBK"/>
          <w:color w:val="000000"/>
          <w:kern w:val="0"/>
          <w:sz w:val="30"/>
          <w:szCs w:val="30"/>
          <w:highlight w:val="none"/>
        </w:rPr>
        <w:t>八、争端解决</w:t>
      </w:r>
    </w:p>
    <w:p>
      <w:pPr>
        <w:pStyle w:val="3"/>
        <w:spacing w:line="580" w:lineRule="exact"/>
        <w:ind w:firstLine="600" w:firstLineChars="200"/>
        <w:jc w:val="both"/>
        <w:rPr>
          <w:rFonts w:hint="eastAsia" w:ascii="方正仿宋_GBK" w:hAnsi="方正仿宋_GBK" w:eastAsia="方正仿宋_GBK" w:cs="方正仿宋_GBK"/>
          <w:color w:val="000000"/>
          <w:kern w:val="0"/>
          <w:sz w:val="30"/>
          <w:szCs w:val="30"/>
          <w:highlight w:val="none"/>
        </w:rPr>
      </w:pPr>
      <w:r>
        <w:rPr>
          <w:rFonts w:hint="eastAsia" w:ascii="方正仿宋_GBK" w:hAnsi="方正仿宋_GBK" w:eastAsia="方正仿宋_GBK" w:cs="方正仿宋_GBK"/>
          <w:color w:val="000000"/>
          <w:kern w:val="0"/>
          <w:sz w:val="30"/>
          <w:szCs w:val="30"/>
          <w:highlight w:val="none"/>
        </w:rPr>
        <w:t>（一）宣传片、视频、海报中的画面、配乐、字幕等具有完整知识产权，防止出现知识产权纠纷。出现纠纷的，由供应商自负法律责任。</w:t>
      </w:r>
    </w:p>
    <w:p>
      <w:pPr>
        <w:pStyle w:val="3"/>
        <w:spacing w:line="580" w:lineRule="exact"/>
        <w:ind w:firstLine="600" w:firstLineChars="200"/>
        <w:jc w:val="both"/>
        <w:rPr>
          <w:rFonts w:hint="eastAsia" w:ascii="方正仿宋_GBK" w:hAnsi="方正仿宋_GBK" w:eastAsia="方正仿宋_GBK" w:cs="方正仿宋_GBK"/>
          <w:color w:val="000000"/>
          <w:kern w:val="0"/>
          <w:sz w:val="30"/>
          <w:szCs w:val="30"/>
          <w:highlight w:val="none"/>
        </w:rPr>
      </w:pPr>
      <w:r>
        <w:rPr>
          <w:rFonts w:hint="eastAsia" w:ascii="方正仿宋_GBK" w:hAnsi="方正仿宋_GBK" w:eastAsia="方正仿宋_GBK" w:cs="方正仿宋_GBK"/>
          <w:color w:val="000000"/>
          <w:kern w:val="0"/>
          <w:sz w:val="30"/>
          <w:szCs w:val="30"/>
          <w:highlight w:val="none"/>
        </w:rPr>
        <w:t>（二）凡与合同有关而引起的一切争议，双方当事人应当及时协商解决；协商不成时，向采购人所在地人民法院起诉。因履行本合同产生争议的，因此产生的相应费用（包括但不限于公证费、评估费、鉴定费、保全费、诉讼费、送达费、执行费、交通费、住宿费、律师费等全部费用）由违约方承担。</w:t>
      </w:r>
    </w:p>
    <w:p>
      <w:pPr>
        <w:pStyle w:val="3"/>
        <w:spacing w:line="580" w:lineRule="exact"/>
        <w:ind w:firstLine="600" w:firstLineChars="200"/>
        <w:jc w:val="both"/>
        <w:rPr>
          <w:rFonts w:hint="eastAsia" w:ascii="方正仿宋_GBK" w:hAnsi="方正仿宋_GBK" w:eastAsia="方正仿宋_GBK" w:cs="方正仿宋_GBK"/>
          <w:color w:val="000000"/>
          <w:kern w:val="0"/>
          <w:sz w:val="30"/>
          <w:szCs w:val="30"/>
          <w:highlight w:val="none"/>
        </w:rPr>
      </w:pPr>
      <w:r>
        <w:rPr>
          <w:rFonts w:hint="eastAsia" w:ascii="方正仿宋_GBK" w:hAnsi="方正仿宋_GBK" w:eastAsia="方正仿宋_GBK" w:cs="方正仿宋_GBK"/>
          <w:color w:val="000000"/>
          <w:kern w:val="0"/>
          <w:sz w:val="30"/>
          <w:szCs w:val="30"/>
          <w:highlight w:val="none"/>
        </w:rPr>
        <w:t>（三）在进行法院审理期间，除提交法院审理的事项外，合同其他部分仍应继续履行。</w:t>
      </w:r>
    </w:p>
    <w:p>
      <w:pPr>
        <w:pStyle w:val="3"/>
        <w:spacing w:line="580" w:lineRule="exact"/>
        <w:ind w:firstLine="600" w:firstLineChars="200"/>
        <w:jc w:val="both"/>
        <w:rPr>
          <w:rFonts w:hint="eastAsia" w:ascii="仿宋" w:hAnsi="仿宋" w:cs="仿宋"/>
          <w:sz w:val="30"/>
          <w:szCs w:val="30"/>
          <w:highlight w:val="none"/>
        </w:rPr>
      </w:pPr>
      <w:r>
        <w:rPr>
          <w:rFonts w:hint="eastAsia" w:ascii="方正仿宋_GBK" w:hAnsi="方正仿宋_GBK" w:eastAsia="方正仿宋_GBK" w:cs="方正仿宋_GBK"/>
          <w:color w:val="000000"/>
          <w:kern w:val="0"/>
          <w:sz w:val="30"/>
          <w:szCs w:val="30"/>
          <w:highlight w:val="none"/>
        </w:rPr>
        <w:t>（四）合同按照中华人民共和国的法律进行解释。</w:t>
      </w:r>
    </w:p>
    <w:p>
      <w:pPr>
        <w:pStyle w:val="12"/>
        <w:spacing w:before="0" w:beforeAutospacing="0" w:after="0" w:afterAutospacing="0" w:line="500" w:lineRule="exact"/>
        <w:ind w:firstLine="640" w:firstLineChars="200"/>
        <w:jc w:val="both"/>
        <w:rPr>
          <w:rFonts w:hint="eastAsia" w:ascii="仿宋" w:hAnsi="仿宋" w:eastAsia="仿宋" w:cs="仿宋"/>
          <w:kern w:val="2"/>
          <w:sz w:val="32"/>
          <w:szCs w:val="32"/>
          <w:highlight w:val="none"/>
        </w:rPr>
      </w:pPr>
    </w:p>
    <w:p>
      <w:pPr>
        <w:pStyle w:val="12"/>
        <w:spacing w:before="0" w:beforeAutospacing="0" w:after="0" w:afterAutospacing="0" w:line="500" w:lineRule="exact"/>
        <w:ind w:firstLine="640" w:firstLineChars="200"/>
        <w:jc w:val="both"/>
        <w:rPr>
          <w:rFonts w:hint="eastAsia" w:ascii="仿宋" w:hAnsi="仿宋" w:eastAsia="仿宋" w:cs="仿宋"/>
          <w:kern w:val="2"/>
          <w:sz w:val="32"/>
          <w:szCs w:val="32"/>
          <w:highlight w:val="none"/>
        </w:rPr>
      </w:pPr>
    </w:p>
    <w:p>
      <w:pPr>
        <w:pStyle w:val="3"/>
        <w:jc w:val="both"/>
        <w:rPr>
          <w:rFonts w:hint="eastAsia" w:ascii="方正黑体_GBK" w:hAnsi="方正黑体_GBK" w:eastAsia="方正黑体_GBK" w:cs="方正黑体_GBK"/>
          <w:color w:val="000000"/>
          <w:kern w:val="0"/>
          <w:szCs w:val="28"/>
          <w:highlight w:val="none"/>
        </w:rPr>
      </w:pPr>
    </w:p>
    <w:p>
      <w:pPr>
        <w:pStyle w:val="3"/>
        <w:spacing w:line="470" w:lineRule="exact"/>
        <w:jc w:val="center"/>
        <w:rPr>
          <w:rFonts w:hint="eastAsia" w:ascii="方正黑体_GBK" w:hAnsi="方正黑体_GBK" w:eastAsia="方正黑体_GBK" w:cs="方正黑体_GBK"/>
          <w:color w:val="000000"/>
          <w:kern w:val="0"/>
          <w:sz w:val="30"/>
          <w:szCs w:val="30"/>
          <w:highlight w:val="none"/>
        </w:rPr>
      </w:pPr>
      <w:r>
        <w:rPr>
          <w:rFonts w:hint="eastAsia" w:ascii="方正黑体_GBK" w:hAnsi="方正黑体_GBK" w:eastAsia="方正黑体_GBK" w:cs="方正黑体_GBK"/>
          <w:color w:val="000000"/>
          <w:kern w:val="0"/>
          <w:sz w:val="30"/>
          <w:szCs w:val="30"/>
          <w:highlight w:val="none"/>
        </w:rPr>
        <w:t>附表1：2025年江门市住房保障宣传采购明细表</w:t>
      </w:r>
    </w:p>
    <w:tbl>
      <w:tblPr>
        <w:tblStyle w:val="14"/>
        <w:tblW w:w="8317" w:type="dxa"/>
        <w:jc w:val="center"/>
        <w:tblLayout w:type="fixed"/>
        <w:tblCellMar>
          <w:top w:w="0" w:type="dxa"/>
          <w:left w:w="108" w:type="dxa"/>
          <w:bottom w:w="0" w:type="dxa"/>
          <w:right w:w="108" w:type="dxa"/>
        </w:tblCellMar>
      </w:tblPr>
      <w:tblGrid>
        <w:gridCol w:w="657"/>
        <w:gridCol w:w="1353"/>
        <w:gridCol w:w="4987"/>
        <w:gridCol w:w="1320"/>
      </w:tblGrid>
      <w:tr>
        <w:tblPrEx>
          <w:tblCellMar>
            <w:top w:w="0" w:type="dxa"/>
            <w:left w:w="108" w:type="dxa"/>
            <w:bottom w:w="0" w:type="dxa"/>
            <w:right w:w="108" w:type="dxa"/>
          </w:tblCellMar>
        </w:tblPrEx>
        <w:trPr>
          <w:trHeight w:val="90" w:hRule="atLeast"/>
          <w:jc w:val="center"/>
        </w:trPr>
        <w:tc>
          <w:tcPr>
            <w:tcW w:w="65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
                <w:bCs/>
                <w:color w:val="000000"/>
                <w:sz w:val="24"/>
                <w:szCs w:val="24"/>
                <w:highlight w:val="none"/>
              </w:rPr>
            </w:pPr>
            <w:r>
              <w:rPr>
                <w:rFonts w:hint="eastAsia" w:ascii="方正仿宋_GBK" w:hAnsi="方正仿宋_GBK" w:eastAsia="方正仿宋_GBK" w:cs="方正仿宋_GBK"/>
                <w:b/>
                <w:bCs/>
                <w:color w:val="000000"/>
                <w:kern w:val="0"/>
                <w:sz w:val="24"/>
                <w:szCs w:val="24"/>
                <w:highlight w:val="none"/>
                <w:lang w:bidi="ar"/>
              </w:rPr>
              <w:t>序号</w:t>
            </w:r>
          </w:p>
        </w:tc>
        <w:tc>
          <w:tcPr>
            <w:tcW w:w="135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
                <w:bCs/>
                <w:color w:val="000000"/>
                <w:sz w:val="24"/>
                <w:szCs w:val="24"/>
                <w:highlight w:val="none"/>
              </w:rPr>
            </w:pPr>
            <w:r>
              <w:rPr>
                <w:rFonts w:hint="eastAsia" w:ascii="方正仿宋_GBK" w:hAnsi="方正仿宋_GBK" w:eastAsia="方正仿宋_GBK" w:cs="方正仿宋_GBK"/>
                <w:b/>
                <w:bCs/>
                <w:color w:val="000000"/>
                <w:kern w:val="0"/>
                <w:sz w:val="24"/>
                <w:szCs w:val="24"/>
                <w:highlight w:val="none"/>
                <w:lang w:bidi="ar"/>
              </w:rPr>
              <w:t>项目</w:t>
            </w:r>
          </w:p>
        </w:tc>
        <w:tc>
          <w:tcPr>
            <w:tcW w:w="498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
                <w:bCs/>
                <w:color w:val="000000"/>
                <w:sz w:val="24"/>
                <w:szCs w:val="24"/>
                <w:highlight w:val="none"/>
              </w:rPr>
            </w:pPr>
            <w:r>
              <w:rPr>
                <w:rFonts w:hint="eastAsia" w:ascii="方正仿宋_GBK" w:hAnsi="方正仿宋_GBK" w:eastAsia="方正仿宋_GBK" w:cs="方正仿宋_GBK"/>
                <w:b/>
                <w:bCs/>
                <w:color w:val="000000"/>
                <w:kern w:val="0"/>
                <w:sz w:val="24"/>
                <w:szCs w:val="24"/>
                <w:highlight w:val="none"/>
                <w:lang w:bidi="ar"/>
              </w:rPr>
              <w:t>内容明细</w:t>
            </w:r>
          </w:p>
        </w:tc>
        <w:tc>
          <w:tcPr>
            <w:tcW w:w="13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
                <w:bCs/>
                <w:color w:val="000000"/>
                <w:sz w:val="24"/>
                <w:szCs w:val="24"/>
                <w:highlight w:val="none"/>
              </w:rPr>
            </w:pPr>
            <w:r>
              <w:rPr>
                <w:rFonts w:hint="eastAsia" w:ascii="方正仿宋_GBK" w:hAnsi="方正仿宋_GBK" w:eastAsia="方正仿宋_GBK" w:cs="方正仿宋_GBK"/>
                <w:b/>
                <w:bCs/>
                <w:color w:val="000000"/>
                <w:kern w:val="0"/>
                <w:sz w:val="24"/>
                <w:szCs w:val="24"/>
                <w:highlight w:val="none"/>
                <w:lang w:bidi="ar"/>
              </w:rPr>
              <w:t>数量</w:t>
            </w:r>
          </w:p>
        </w:tc>
      </w:tr>
      <w:tr>
        <w:tblPrEx>
          <w:tblCellMar>
            <w:top w:w="0" w:type="dxa"/>
            <w:left w:w="108" w:type="dxa"/>
            <w:bottom w:w="0" w:type="dxa"/>
            <w:right w:w="108" w:type="dxa"/>
          </w:tblCellMar>
        </w:tblPrEx>
        <w:trPr>
          <w:trHeight w:val="2248" w:hRule="atLeast"/>
          <w:jc w:val="center"/>
        </w:trPr>
        <w:tc>
          <w:tcPr>
            <w:tcW w:w="65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kern w:val="0"/>
                <w:sz w:val="24"/>
                <w:szCs w:val="24"/>
                <w:highlight w:val="none"/>
                <w:lang w:bidi="ar"/>
              </w:rPr>
              <w:t>1</w:t>
            </w:r>
          </w:p>
        </w:tc>
        <w:tc>
          <w:tcPr>
            <w:tcW w:w="1353"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kern w:val="0"/>
                <w:sz w:val="24"/>
                <w:szCs w:val="24"/>
                <w:highlight w:val="none"/>
                <w:lang w:bidi="ar"/>
              </w:rPr>
              <w:t>住房保障工作成效宣传视频</w:t>
            </w:r>
          </w:p>
        </w:tc>
        <w:tc>
          <w:tcPr>
            <w:tcW w:w="498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kern w:val="0"/>
                <w:sz w:val="24"/>
                <w:szCs w:val="24"/>
                <w:highlight w:val="none"/>
                <w:lang w:bidi="ar"/>
              </w:rPr>
              <w:t>总结呈现江门市“十四五”期间及2025年住房保障工作内容及成效，并适度展望“十五五”期间江门市保障性住房发展规划。</w:t>
            </w:r>
          </w:p>
        </w:tc>
        <w:tc>
          <w:tcPr>
            <w:tcW w:w="1320"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color w:val="000000"/>
                <w:kern w:val="0"/>
                <w:sz w:val="24"/>
                <w:szCs w:val="24"/>
                <w:highlight w:val="none"/>
                <w:lang w:bidi="ar"/>
              </w:rPr>
            </w:pPr>
            <w:r>
              <w:rPr>
                <w:rFonts w:hint="eastAsia" w:ascii="方正仿宋_GBK" w:hAnsi="方正仿宋_GBK" w:eastAsia="方正仿宋_GBK" w:cs="方正仿宋_GBK"/>
                <w:color w:val="000000"/>
                <w:kern w:val="0"/>
                <w:sz w:val="24"/>
                <w:szCs w:val="24"/>
                <w:highlight w:val="none"/>
                <w:lang w:bidi="ar"/>
              </w:rPr>
              <w:t>1条</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color w:val="000000"/>
                <w:sz w:val="24"/>
                <w:szCs w:val="24"/>
                <w:highlight w:val="none"/>
              </w:rPr>
            </w:pPr>
          </w:p>
        </w:tc>
      </w:tr>
      <w:tr>
        <w:tblPrEx>
          <w:tblCellMar>
            <w:top w:w="0" w:type="dxa"/>
            <w:left w:w="108" w:type="dxa"/>
            <w:bottom w:w="0" w:type="dxa"/>
            <w:right w:w="108" w:type="dxa"/>
          </w:tblCellMar>
        </w:tblPrEx>
        <w:trPr>
          <w:trHeight w:val="90" w:hRule="atLeast"/>
          <w:jc w:val="center"/>
        </w:trPr>
        <w:tc>
          <w:tcPr>
            <w:tcW w:w="65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kern w:val="0"/>
                <w:sz w:val="24"/>
                <w:szCs w:val="24"/>
                <w:highlight w:val="none"/>
                <w:lang w:bidi="ar"/>
              </w:rPr>
              <w:t>2</w:t>
            </w:r>
          </w:p>
        </w:tc>
        <w:tc>
          <w:tcPr>
            <w:tcW w:w="1353"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kern w:val="0"/>
                <w:sz w:val="24"/>
                <w:szCs w:val="24"/>
                <w:highlight w:val="none"/>
                <w:lang w:bidi="ar"/>
              </w:rPr>
              <w:t>住房保障政策宣传视频</w:t>
            </w:r>
          </w:p>
        </w:tc>
        <w:tc>
          <w:tcPr>
            <w:tcW w:w="498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kern w:val="0"/>
                <w:sz w:val="24"/>
                <w:szCs w:val="24"/>
                <w:highlight w:val="none"/>
                <w:lang w:bidi="ar"/>
              </w:rPr>
              <w:t>以创意创新手法，做好住房保障政策宣传解读。</w:t>
            </w:r>
          </w:p>
        </w:tc>
        <w:tc>
          <w:tcPr>
            <w:tcW w:w="1320"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color w:val="000000"/>
                <w:kern w:val="0"/>
                <w:sz w:val="24"/>
                <w:szCs w:val="24"/>
                <w:highlight w:val="none"/>
                <w:lang w:bidi="ar"/>
              </w:rPr>
            </w:pPr>
            <w:r>
              <w:rPr>
                <w:rFonts w:hint="eastAsia" w:ascii="方正仿宋_GBK" w:hAnsi="方正仿宋_GBK" w:eastAsia="方正仿宋_GBK" w:cs="方正仿宋_GBK"/>
                <w:color w:val="000000"/>
                <w:kern w:val="0"/>
                <w:sz w:val="24"/>
                <w:szCs w:val="24"/>
                <w:highlight w:val="none"/>
                <w:lang w:val="en-US" w:eastAsia="zh-CN" w:bidi="ar"/>
              </w:rPr>
              <w:t>2</w:t>
            </w:r>
            <w:r>
              <w:rPr>
                <w:rFonts w:hint="eastAsia" w:ascii="方正仿宋_GBK" w:hAnsi="方正仿宋_GBK" w:eastAsia="方正仿宋_GBK" w:cs="方正仿宋_GBK"/>
                <w:color w:val="000000"/>
                <w:kern w:val="0"/>
                <w:sz w:val="24"/>
                <w:szCs w:val="24"/>
                <w:highlight w:val="none"/>
                <w:lang w:bidi="ar"/>
              </w:rPr>
              <w:t>条</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color w:val="000000"/>
                <w:sz w:val="24"/>
                <w:szCs w:val="24"/>
                <w:highlight w:val="none"/>
              </w:rPr>
            </w:pPr>
          </w:p>
        </w:tc>
      </w:tr>
      <w:tr>
        <w:tblPrEx>
          <w:tblCellMar>
            <w:top w:w="0" w:type="dxa"/>
            <w:left w:w="108" w:type="dxa"/>
            <w:bottom w:w="0" w:type="dxa"/>
            <w:right w:w="108" w:type="dxa"/>
          </w:tblCellMar>
        </w:tblPrEx>
        <w:trPr>
          <w:trHeight w:val="2218" w:hRule="atLeast"/>
          <w:jc w:val="center"/>
        </w:trPr>
        <w:tc>
          <w:tcPr>
            <w:tcW w:w="65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kern w:val="0"/>
                <w:sz w:val="24"/>
                <w:szCs w:val="24"/>
                <w:highlight w:val="none"/>
                <w:lang w:bidi="ar"/>
              </w:rPr>
              <w:t>3</w:t>
            </w:r>
          </w:p>
        </w:tc>
        <w:tc>
          <w:tcPr>
            <w:tcW w:w="1353"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kern w:val="0"/>
                <w:sz w:val="24"/>
                <w:szCs w:val="24"/>
                <w:highlight w:val="none"/>
                <w:lang w:bidi="ar"/>
              </w:rPr>
              <w:t>住房保障日常宣传视频</w:t>
            </w:r>
          </w:p>
        </w:tc>
        <w:tc>
          <w:tcPr>
            <w:tcW w:w="498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kern w:val="0"/>
                <w:sz w:val="24"/>
                <w:szCs w:val="24"/>
                <w:highlight w:val="none"/>
                <w:lang w:bidi="ar"/>
              </w:rPr>
              <w:t>通过创意短视频，采用轻松、温馨的叙事风格，宣传保障房的新举措、新亮点以及居民生活改善成效。</w:t>
            </w:r>
          </w:p>
        </w:tc>
        <w:tc>
          <w:tcPr>
            <w:tcW w:w="1320"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color w:val="000000"/>
                <w:kern w:val="0"/>
                <w:sz w:val="24"/>
                <w:szCs w:val="24"/>
                <w:highlight w:val="none"/>
                <w:lang w:bidi="ar"/>
              </w:rPr>
            </w:pPr>
            <w:r>
              <w:rPr>
                <w:rFonts w:hint="eastAsia" w:ascii="方正仿宋_GBK" w:hAnsi="方正仿宋_GBK" w:eastAsia="方正仿宋_GBK" w:cs="方正仿宋_GBK"/>
                <w:color w:val="000000"/>
                <w:kern w:val="0"/>
                <w:sz w:val="24"/>
                <w:szCs w:val="24"/>
                <w:highlight w:val="none"/>
                <w:lang w:bidi="ar"/>
              </w:rPr>
              <w:t>1条</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color w:val="000000"/>
                <w:sz w:val="24"/>
                <w:szCs w:val="24"/>
                <w:highlight w:val="none"/>
              </w:rPr>
            </w:pPr>
          </w:p>
        </w:tc>
      </w:tr>
      <w:tr>
        <w:tblPrEx>
          <w:tblCellMar>
            <w:top w:w="0" w:type="dxa"/>
            <w:left w:w="108" w:type="dxa"/>
            <w:bottom w:w="0" w:type="dxa"/>
            <w:right w:w="108" w:type="dxa"/>
          </w:tblCellMar>
        </w:tblPrEx>
        <w:trPr>
          <w:trHeight w:val="1503" w:hRule="atLeast"/>
          <w:jc w:val="center"/>
        </w:trPr>
        <w:tc>
          <w:tcPr>
            <w:tcW w:w="65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kern w:val="0"/>
                <w:sz w:val="24"/>
                <w:szCs w:val="24"/>
                <w:highlight w:val="none"/>
                <w:lang w:bidi="ar"/>
              </w:rPr>
              <w:t>4</w:t>
            </w:r>
          </w:p>
        </w:tc>
        <w:tc>
          <w:tcPr>
            <w:tcW w:w="1353"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kern w:val="0"/>
                <w:sz w:val="24"/>
                <w:szCs w:val="24"/>
                <w:highlight w:val="none"/>
                <w:lang w:bidi="ar"/>
              </w:rPr>
              <w:t>宣传手册设计排版</w:t>
            </w:r>
          </w:p>
        </w:tc>
        <w:tc>
          <w:tcPr>
            <w:tcW w:w="498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kern w:val="0"/>
                <w:sz w:val="24"/>
                <w:szCs w:val="24"/>
                <w:highlight w:val="none"/>
                <w:lang w:bidi="ar"/>
              </w:rPr>
              <w:t>根据住房保障需要，进行宣传手册平面设计，宣传册子内容不少于20页。</w:t>
            </w:r>
          </w:p>
        </w:tc>
        <w:tc>
          <w:tcPr>
            <w:tcW w:w="1320"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kern w:val="0"/>
                <w:sz w:val="24"/>
                <w:szCs w:val="24"/>
                <w:highlight w:val="none"/>
                <w:lang w:bidi="ar"/>
              </w:rPr>
              <w:t>1项</w:t>
            </w:r>
          </w:p>
        </w:tc>
      </w:tr>
      <w:tr>
        <w:tblPrEx>
          <w:tblCellMar>
            <w:top w:w="0" w:type="dxa"/>
            <w:left w:w="108" w:type="dxa"/>
            <w:bottom w:w="0" w:type="dxa"/>
            <w:right w:w="108" w:type="dxa"/>
          </w:tblCellMar>
        </w:tblPrEx>
        <w:trPr>
          <w:trHeight w:val="2026" w:hRule="atLeast"/>
          <w:jc w:val="center"/>
        </w:trPr>
        <w:tc>
          <w:tcPr>
            <w:tcW w:w="65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kern w:val="0"/>
                <w:sz w:val="24"/>
                <w:szCs w:val="24"/>
                <w:highlight w:val="none"/>
                <w:lang w:bidi="ar"/>
              </w:rPr>
              <w:t>5</w:t>
            </w:r>
          </w:p>
        </w:tc>
        <w:tc>
          <w:tcPr>
            <w:tcW w:w="1353"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kern w:val="0"/>
                <w:sz w:val="24"/>
                <w:szCs w:val="24"/>
                <w:highlight w:val="none"/>
                <w:lang w:bidi="ar"/>
              </w:rPr>
              <w:t>海报、宣传栏设计与物料制作</w:t>
            </w:r>
          </w:p>
        </w:tc>
        <w:tc>
          <w:tcPr>
            <w:tcW w:w="498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kern w:val="0"/>
                <w:sz w:val="24"/>
                <w:szCs w:val="24"/>
                <w:highlight w:val="none"/>
                <w:lang w:bidi="ar"/>
              </w:rPr>
              <w:t>配合保租房宣传，设计政策解读长图2幅、制作海报或宣传栏成品4幅（含平面设计和物料制作，海报需提供支架、宣传栏需提供张贴服务）。</w:t>
            </w:r>
          </w:p>
        </w:tc>
        <w:tc>
          <w:tcPr>
            <w:tcW w:w="1320"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kern w:val="0"/>
                <w:sz w:val="24"/>
                <w:szCs w:val="24"/>
                <w:highlight w:val="none"/>
                <w:lang w:bidi="ar"/>
              </w:rPr>
              <w:t>6幅</w:t>
            </w:r>
          </w:p>
        </w:tc>
      </w:tr>
      <w:tr>
        <w:tblPrEx>
          <w:tblCellMar>
            <w:top w:w="0" w:type="dxa"/>
            <w:left w:w="108" w:type="dxa"/>
            <w:bottom w:w="0" w:type="dxa"/>
            <w:right w:w="108" w:type="dxa"/>
          </w:tblCellMar>
        </w:tblPrEx>
        <w:trPr>
          <w:trHeight w:val="1003" w:hRule="atLeast"/>
          <w:jc w:val="center"/>
        </w:trPr>
        <w:tc>
          <w:tcPr>
            <w:tcW w:w="65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kern w:val="0"/>
                <w:sz w:val="24"/>
                <w:szCs w:val="24"/>
                <w:highlight w:val="none"/>
                <w:lang w:bidi="ar"/>
              </w:rPr>
              <w:t>6</w:t>
            </w:r>
          </w:p>
        </w:tc>
        <w:tc>
          <w:tcPr>
            <w:tcW w:w="1353"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kern w:val="0"/>
                <w:sz w:val="24"/>
                <w:szCs w:val="24"/>
                <w:highlight w:val="none"/>
                <w:lang w:bidi="ar"/>
              </w:rPr>
              <w:t>省媒级新闻客户端专题宣传支持</w:t>
            </w:r>
          </w:p>
        </w:tc>
        <w:tc>
          <w:tcPr>
            <w:tcW w:w="498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kern w:val="0"/>
                <w:sz w:val="24"/>
                <w:szCs w:val="24"/>
                <w:highlight w:val="none"/>
                <w:lang w:bidi="ar"/>
              </w:rPr>
              <w:t>为江门住建住房保障项目搭建专题宣传页面并配合做好日常宣传运营工作，转发推广住房保障最新资讯（不少于</w:t>
            </w:r>
            <w:r>
              <w:rPr>
                <w:rFonts w:ascii="方正仿宋_GBK" w:hAnsi="方正仿宋_GBK" w:eastAsia="方正仿宋_GBK" w:cs="方正仿宋_GBK"/>
                <w:color w:val="000000"/>
                <w:kern w:val="0"/>
                <w:sz w:val="24"/>
                <w:szCs w:val="24"/>
                <w:highlight w:val="none"/>
                <w:lang w:bidi="ar"/>
              </w:rPr>
              <w:t>4</w:t>
            </w:r>
            <w:r>
              <w:rPr>
                <w:rFonts w:hint="eastAsia" w:ascii="方正仿宋_GBK" w:hAnsi="方正仿宋_GBK" w:eastAsia="方正仿宋_GBK" w:cs="方正仿宋_GBK"/>
                <w:color w:val="000000"/>
                <w:kern w:val="0"/>
                <w:sz w:val="24"/>
                <w:szCs w:val="24"/>
                <w:highlight w:val="none"/>
                <w:lang w:bidi="ar"/>
              </w:rPr>
              <w:t>篇文章转发）。</w:t>
            </w:r>
          </w:p>
        </w:tc>
        <w:tc>
          <w:tcPr>
            <w:tcW w:w="1320"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kern w:val="0"/>
                <w:sz w:val="24"/>
                <w:szCs w:val="24"/>
                <w:highlight w:val="none"/>
                <w:lang w:bidi="ar"/>
              </w:rPr>
              <w:t>1个端口</w:t>
            </w:r>
          </w:p>
        </w:tc>
      </w:tr>
      <w:tr>
        <w:tblPrEx>
          <w:tblCellMar>
            <w:top w:w="0" w:type="dxa"/>
            <w:left w:w="108" w:type="dxa"/>
            <w:bottom w:w="0" w:type="dxa"/>
            <w:right w:w="108" w:type="dxa"/>
          </w:tblCellMar>
        </w:tblPrEx>
        <w:trPr>
          <w:trHeight w:val="1202" w:hRule="atLeast"/>
          <w:jc w:val="center"/>
        </w:trPr>
        <w:tc>
          <w:tcPr>
            <w:tcW w:w="65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kern w:val="0"/>
                <w:sz w:val="24"/>
                <w:szCs w:val="24"/>
                <w:highlight w:val="none"/>
                <w:lang w:bidi="ar"/>
              </w:rPr>
              <w:t>7</w:t>
            </w:r>
          </w:p>
        </w:tc>
        <w:tc>
          <w:tcPr>
            <w:tcW w:w="1353"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kern w:val="0"/>
                <w:sz w:val="24"/>
                <w:szCs w:val="24"/>
                <w:highlight w:val="none"/>
                <w:lang w:bidi="ar"/>
              </w:rPr>
              <w:t>多渠道推广宣传支持</w:t>
            </w:r>
          </w:p>
        </w:tc>
        <w:tc>
          <w:tcPr>
            <w:tcW w:w="498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kern w:val="0"/>
                <w:sz w:val="24"/>
                <w:szCs w:val="24"/>
                <w:highlight w:val="none"/>
                <w:lang w:bidi="ar"/>
              </w:rPr>
              <w:t>转发推广住房保障宣传内容；通过微信公众号、微信视频号、抖音号自有自营资源宣传；跨市联动发布资源宣传（不少于</w:t>
            </w:r>
            <w:r>
              <w:rPr>
                <w:rFonts w:ascii="方正仿宋_GBK" w:hAnsi="方正仿宋_GBK" w:eastAsia="方正仿宋_GBK" w:cs="方正仿宋_GBK"/>
                <w:color w:val="000000"/>
                <w:kern w:val="0"/>
                <w:sz w:val="24"/>
                <w:szCs w:val="24"/>
                <w:highlight w:val="none"/>
                <w:lang w:bidi="ar"/>
              </w:rPr>
              <w:t>4</w:t>
            </w:r>
            <w:r>
              <w:rPr>
                <w:rFonts w:hint="eastAsia" w:ascii="方正仿宋_GBK" w:hAnsi="方正仿宋_GBK" w:eastAsia="方正仿宋_GBK" w:cs="方正仿宋_GBK"/>
                <w:color w:val="000000"/>
                <w:kern w:val="0"/>
                <w:sz w:val="24"/>
                <w:szCs w:val="24"/>
                <w:highlight w:val="none"/>
                <w:lang w:bidi="ar"/>
              </w:rPr>
              <w:t>篇文章转发）。</w:t>
            </w:r>
          </w:p>
        </w:tc>
        <w:tc>
          <w:tcPr>
            <w:tcW w:w="1320"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kern w:val="0"/>
                <w:sz w:val="24"/>
                <w:szCs w:val="24"/>
                <w:highlight w:val="none"/>
                <w:lang w:bidi="ar"/>
              </w:rPr>
              <w:t>4项</w:t>
            </w:r>
          </w:p>
        </w:tc>
      </w:tr>
    </w:tbl>
    <w:p>
      <w:pPr>
        <w:pStyle w:val="3"/>
        <w:jc w:val="both"/>
        <w:rPr>
          <w:rFonts w:hint="eastAsia" w:ascii="方正黑体_GBK" w:hAnsi="方正黑体_GBK" w:eastAsia="方正黑体_GBK" w:cs="方正黑体_GBK"/>
          <w:color w:val="000000"/>
          <w:kern w:val="0"/>
          <w:sz w:val="30"/>
          <w:szCs w:val="30"/>
          <w:highlight w:val="none"/>
        </w:rPr>
      </w:pPr>
    </w:p>
    <w:p>
      <w:pPr>
        <w:pStyle w:val="3"/>
        <w:jc w:val="both"/>
        <w:rPr>
          <w:rFonts w:hint="eastAsia" w:ascii="方正黑体_GBK" w:hAnsi="方正黑体_GBK" w:eastAsia="方正黑体_GBK" w:cs="方正黑体_GBK"/>
          <w:color w:val="000000"/>
          <w:kern w:val="0"/>
          <w:sz w:val="30"/>
          <w:szCs w:val="30"/>
          <w:highlight w:val="none"/>
        </w:rPr>
      </w:pPr>
    </w:p>
    <w:p>
      <w:pPr>
        <w:pStyle w:val="3"/>
        <w:jc w:val="both"/>
        <w:rPr>
          <w:rFonts w:hint="eastAsia" w:ascii="方正黑体_GBK" w:hAnsi="方正黑体_GBK" w:eastAsia="方正黑体_GBK" w:cs="方正黑体_GBK"/>
          <w:color w:val="000000"/>
          <w:kern w:val="0"/>
          <w:sz w:val="30"/>
          <w:szCs w:val="30"/>
          <w:highlight w:val="none"/>
        </w:rPr>
      </w:pPr>
    </w:p>
    <w:p>
      <w:pPr>
        <w:pStyle w:val="3"/>
        <w:jc w:val="both"/>
        <w:rPr>
          <w:rFonts w:hint="eastAsia" w:ascii="方正黑体_GBK" w:hAnsi="方正黑体_GBK" w:eastAsia="方正黑体_GBK" w:cs="方正黑体_GBK"/>
          <w:color w:val="000000"/>
          <w:kern w:val="0"/>
          <w:sz w:val="30"/>
          <w:szCs w:val="30"/>
          <w:highlight w:val="none"/>
        </w:rPr>
      </w:pPr>
    </w:p>
    <w:p>
      <w:pPr>
        <w:pStyle w:val="3"/>
        <w:jc w:val="both"/>
        <w:rPr>
          <w:rFonts w:hint="eastAsia" w:ascii="方正黑体_GBK" w:hAnsi="方正黑体_GBK" w:eastAsia="方正黑体_GBK" w:cs="方正黑体_GBK"/>
          <w:color w:val="000000"/>
          <w:kern w:val="0"/>
          <w:sz w:val="30"/>
          <w:szCs w:val="30"/>
          <w:highlight w:val="none"/>
        </w:rPr>
      </w:pPr>
    </w:p>
    <w:p>
      <w:pPr>
        <w:pStyle w:val="3"/>
        <w:jc w:val="both"/>
        <w:rPr>
          <w:rFonts w:hint="eastAsia" w:ascii="方正黑体_GBK" w:hAnsi="方正黑体_GBK" w:eastAsia="方正黑体_GBK" w:cs="方正黑体_GBK"/>
          <w:color w:val="000000"/>
          <w:kern w:val="0"/>
          <w:sz w:val="30"/>
          <w:szCs w:val="30"/>
          <w:highlight w:val="none"/>
        </w:rPr>
      </w:pPr>
    </w:p>
    <w:p>
      <w:pPr>
        <w:pStyle w:val="3"/>
        <w:jc w:val="both"/>
        <w:rPr>
          <w:rFonts w:hint="eastAsia" w:ascii="方正黑体_GBK" w:hAnsi="方正黑体_GBK" w:eastAsia="方正黑体_GBK" w:cs="方正黑体_GBK"/>
          <w:color w:val="000000"/>
          <w:kern w:val="0"/>
          <w:sz w:val="30"/>
          <w:szCs w:val="30"/>
          <w:highlight w:val="none"/>
        </w:rPr>
      </w:pPr>
    </w:p>
    <w:p>
      <w:pPr>
        <w:pStyle w:val="3"/>
        <w:jc w:val="both"/>
        <w:rPr>
          <w:rFonts w:hint="eastAsia" w:ascii="方正黑体_GBK" w:hAnsi="方正黑体_GBK" w:eastAsia="方正黑体_GBK" w:cs="方正黑体_GBK"/>
          <w:color w:val="000000"/>
          <w:kern w:val="0"/>
          <w:sz w:val="30"/>
          <w:szCs w:val="30"/>
          <w:highlight w:val="none"/>
        </w:rPr>
      </w:pPr>
    </w:p>
    <w:p>
      <w:pPr>
        <w:pStyle w:val="3"/>
        <w:jc w:val="both"/>
        <w:rPr>
          <w:rFonts w:hint="eastAsia" w:ascii="方正黑体_GBK" w:hAnsi="方正黑体_GBK" w:eastAsia="方正黑体_GBK" w:cs="方正黑体_GBK"/>
          <w:color w:val="000000"/>
          <w:kern w:val="0"/>
          <w:sz w:val="30"/>
          <w:szCs w:val="30"/>
          <w:highlight w:val="none"/>
        </w:rPr>
      </w:pPr>
    </w:p>
    <w:p>
      <w:pPr>
        <w:pStyle w:val="3"/>
        <w:jc w:val="both"/>
        <w:rPr>
          <w:rFonts w:hint="eastAsia" w:ascii="方正黑体_GBK" w:hAnsi="方正黑体_GBK" w:eastAsia="方正黑体_GBK" w:cs="方正黑体_GBK"/>
          <w:color w:val="000000"/>
          <w:kern w:val="0"/>
          <w:sz w:val="30"/>
          <w:szCs w:val="30"/>
          <w:highlight w:val="none"/>
        </w:rPr>
      </w:pPr>
    </w:p>
    <w:p>
      <w:pPr>
        <w:pStyle w:val="3"/>
        <w:jc w:val="both"/>
        <w:rPr>
          <w:rFonts w:hint="eastAsia" w:ascii="方正黑体_GBK" w:hAnsi="方正黑体_GBK" w:eastAsia="方正黑体_GBK" w:cs="方正黑体_GBK"/>
          <w:color w:val="000000"/>
          <w:kern w:val="0"/>
          <w:sz w:val="30"/>
          <w:szCs w:val="30"/>
          <w:highlight w:val="none"/>
        </w:rPr>
      </w:pPr>
    </w:p>
    <w:p>
      <w:pPr>
        <w:pStyle w:val="3"/>
        <w:jc w:val="both"/>
        <w:rPr>
          <w:rFonts w:hint="eastAsia" w:ascii="方正黑体_GBK" w:hAnsi="方正黑体_GBK" w:eastAsia="方正黑体_GBK" w:cs="方正黑体_GBK"/>
          <w:color w:val="000000"/>
          <w:kern w:val="0"/>
          <w:sz w:val="30"/>
          <w:szCs w:val="30"/>
          <w:highlight w:val="none"/>
        </w:rPr>
      </w:pPr>
    </w:p>
    <w:p>
      <w:pPr>
        <w:pStyle w:val="3"/>
        <w:jc w:val="both"/>
        <w:rPr>
          <w:rFonts w:hint="eastAsia" w:ascii="方正黑体_GBK" w:hAnsi="方正黑体_GBK" w:eastAsia="方正黑体_GBK" w:cs="方正黑体_GBK"/>
          <w:color w:val="000000"/>
          <w:kern w:val="0"/>
          <w:sz w:val="30"/>
          <w:szCs w:val="30"/>
          <w:highlight w:val="none"/>
        </w:rPr>
      </w:pPr>
    </w:p>
    <w:p>
      <w:pPr>
        <w:pStyle w:val="3"/>
        <w:jc w:val="both"/>
        <w:rPr>
          <w:rFonts w:hint="eastAsia" w:ascii="方正黑体_GBK" w:hAnsi="方正黑体_GBK" w:eastAsia="方正黑体_GBK" w:cs="方正黑体_GBK"/>
          <w:color w:val="000000"/>
          <w:kern w:val="0"/>
          <w:sz w:val="30"/>
          <w:szCs w:val="30"/>
          <w:highlight w:val="none"/>
        </w:rPr>
      </w:pPr>
    </w:p>
    <w:p>
      <w:pPr>
        <w:pStyle w:val="3"/>
        <w:jc w:val="both"/>
        <w:rPr>
          <w:rFonts w:hint="eastAsia" w:ascii="方正黑体_GBK" w:hAnsi="方正黑体_GBK" w:eastAsia="方正黑体_GBK" w:cs="方正黑体_GBK"/>
          <w:color w:val="000000"/>
          <w:kern w:val="0"/>
          <w:sz w:val="30"/>
          <w:szCs w:val="30"/>
          <w:highlight w:val="none"/>
        </w:rPr>
      </w:pPr>
    </w:p>
    <w:p>
      <w:pPr>
        <w:pStyle w:val="3"/>
        <w:jc w:val="both"/>
        <w:rPr>
          <w:rFonts w:hint="eastAsia" w:ascii="方正黑体_GBK" w:hAnsi="方正黑体_GBK" w:eastAsia="方正黑体_GBK" w:cs="方正黑体_GBK"/>
          <w:color w:val="000000"/>
          <w:kern w:val="0"/>
          <w:sz w:val="30"/>
          <w:szCs w:val="30"/>
          <w:highlight w:val="none"/>
        </w:rPr>
      </w:pPr>
    </w:p>
    <w:p>
      <w:pPr>
        <w:pStyle w:val="3"/>
        <w:jc w:val="both"/>
        <w:rPr>
          <w:rFonts w:hint="eastAsia" w:ascii="方正黑体_GBK" w:hAnsi="方正黑体_GBK" w:eastAsia="方正黑体_GBK" w:cs="方正黑体_GBK"/>
          <w:color w:val="000000"/>
          <w:kern w:val="0"/>
          <w:sz w:val="30"/>
          <w:szCs w:val="30"/>
          <w:highlight w:val="none"/>
        </w:rPr>
      </w:pPr>
    </w:p>
    <w:p>
      <w:pPr>
        <w:pStyle w:val="3"/>
        <w:jc w:val="both"/>
        <w:rPr>
          <w:rFonts w:hint="eastAsia" w:ascii="方正黑体_GBK" w:hAnsi="方正黑体_GBK" w:eastAsia="方正黑体_GBK" w:cs="方正黑体_GBK"/>
          <w:color w:val="000000"/>
          <w:kern w:val="0"/>
          <w:sz w:val="30"/>
          <w:szCs w:val="30"/>
          <w:highlight w:val="none"/>
        </w:rPr>
      </w:pPr>
    </w:p>
    <w:p>
      <w:pPr>
        <w:pStyle w:val="3"/>
        <w:jc w:val="center"/>
        <w:rPr>
          <w:rFonts w:hint="eastAsia" w:ascii="方正黑体_GBK" w:hAnsi="方正黑体_GBK" w:eastAsia="方正黑体_GBK" w:cs="方正黑体_GBK"/>
          <w:color w:val="000000"/>
          <w:kern w:val="0"/>
          <w:sz w:val="30"/>
          <w:szCs w:val="30"/>
          <w:highlight w:val="none"/>
        </w:rPr>
      </w:pPr>
      <w:r>
        <w:rPr>
          <w:rFonts w:hint="eastAsia" w:ascii="方正黑体_GBK" w:hAnsi="方正黑体_GBK" w:eastAsia="方正黑体_GBK" w:cs="方正黑体_GBK"/>
          <w:color w:val="000000"/>
          <w:kern w:val="0"/>
          <w:sz w:val="30"/>
          <w:szCs w:val="30"/>
          <w:highlight w:val="none"/>
        </w:rPr>
        <w:t>附表2：2025年江门市住房保障宣传采购评分标准</w:t>
      </w:r>
    </w:p>
    <w:tbl>
      <w:tblPr>
        <w:tblStyle w:val="14"/>
        <w:tblW w:w="446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3"/>
        <w:gridCol w:w="954"/>
        <w:gridCol w:w="5367"/>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blHeader/>
          <w:jc w:val="center"/>
        </w:trPr>
        <w:tc>
          <w:tcPr>
            <w:tcW w:w="5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b/>
                <w:bCs/>
                <w:color w:val="000000"/>
                <w:kern w:val="0"/>
                <w:sz w:val="24"/>
                <w:szCs w:val="24"/>
                <w:highlight w:val="none"/>
              </w:rPr>
            </w:pPr>
            <w:r>
              <w:rPr>
                <w:rFonts w:hint="eastAsia" w:ascii="方正仿宋_GBK" w:hAnsi="方正仿宋_GBK" w:eastAsia="方正仿宋_GBK" w:cs="方正仿宋_GBK"/>
                <w:b/>
                <w:bCs/>
                <w:color w:val="000000"/>
                <w:sz w:val="24"/>
                <w:szCs w:val="24"/>
                <w:highlight w:val="none"/>
              </w:rPr>
              <w:t>序号</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b/>
                <w:bCs/>
                <w:color w:val="000000"/>
                <w:kern w:val="0"/>
                <w:sz w:val="24"/>
                <w:szCs w:val="24"/>
                <w:highlight w:val="none"/>
              </w:rPr>
            </w:pPr>
            <w:r>
              <w:rPr>
                <w:rFonts w:hint="eastAsia" w:ascii="方正仿宋_GBK" w:hAnsi="方正仿宋_GBK" w:eastAsia="方正仿宋_GBK" w:cs="方正仿宋_GBK"/>
                <w:b/>
                <w:bCs/>
                <w:color w:val="000000"/>
                <w:sz w:val="24"/>
                <w:szCs w:val="24"/>
                <w:highlight w:val="none"/>
              </w:rPr>
              <w:t>指标</w:t>
            </w:r>
          </w:p>
        </w:tc>
        <w:tc>
          <w:tcPr>
            <w:tcW w:w="63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b/>
                <w:bCs/>
                <w:color w:val="000000"/>
                <w:kern w:val="0"/>
                <w:sz w:val="24"/>
                <w:szCs w:val="24"/>
                <w:highlight w:val="none"/>
              </w:rPr>
            </w:pPr>
            <w:r>
              <w:rPr>
                <w:rFonts w:hint="eastAsia" w:ascii="方正仿宋_GBK" w:hAnsi="方正仿宋_GBK" w:eastAsia="方正仿宋_GBK" w:cs="方正仿宋_GBK"/>
                <w:b/>
                <w:bCs/>
                <w:color w:val="000000"/>
                <w:sz w:val="24"/>
                <w:szCs w:val="24"/>
                <w:highlight w:val="none"/>
              </w:rPr>
              <w:t>评分标准</w:t>
            </w:r>
          </w:p>
        </w:tc>
        <w:tc>
          <w:tcPr>
            <w:tcW w:w="9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b/>
                <w:bCs/>
                <w:color w:val="000000"/>
                <w:kern w:val="0"/>
                <w:sz w:val="24"/>
                <w:szCs w:val="24"/>
                <w:highlight w:val="none"/>
              </w:rPr>
            </w:pPr>
            <w:r>
              <w:rPr>
                <w:rFonts w:hint="eastAsia" w:ascii="方正仿宋_GBK" w:hAnsi="方正仿宋_GBK" w:eastAsia="方正仿宋_GBK" w:cs="方正仿宋_GBK"/>
                <w:b/>
                <w:bCs/>
                <w:color w:val="000000"/>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blHeader/>
          <w:jc w:val="center"/>
        </w:trPr>
        <w:tc>
          <w:tcPr>
            <w:tcW w:w="599"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1</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供应商资质</w:t>
            </w:r>
          </w:p>
        </w:tc>
        <w:tc>
          <w:tcPr>
            <w:tcW w:w="6353" w:type="dxa"/>
            <w:tcBorders>
              <w:top w:val="single" w:color="auto" w:sz="4" w:space="0"/>
              <w:left w:val="single" w:color="auto" w:sz="4" w:space="0"/>
              <w:bottom w:val="single" w:color="auto" w:sz="4" w:space="0"/>
              <w:right w:val="single" w:color="auto" w:sz="4" w:space="0"/>
            </w:tcBorders>
            <w:noWrap w:val="0"/>
            <w:vAlign w:val="top"/>
          </w:tcPr>
          <w:p>
            <w:pPr>
              <w:pStyle w:val="3"/>
              <w:keepNext w:val="0"/>
              <w:keepLines w:val="0"/>
              <w:pageBreakBefore w:val="0"/>
              <w:kinsoku/>
              <w:wordWrap/>
              <w:overflowPunct/>
              <w:topLinePunct w:val="0"/>
              <w:autoSpaceDE/>
              <w:autoSpaceDN/>
              <w:bidi w:val="0"/>
              <w:adjustRightInd/>
              <w:snapToGrid/>
              <w:spacing w:line="580" w:lineRule="exact"/>
              <w:jc w:val="left"/>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（1）具有策划设计服务资质；得分：10分</w:t>
            </w:r>
          </w:p>
          <w:p>
            <w:pPr>
              <w:pStyle w:val="3"/>
              <w:keepNext w:val="0"/>
              <w:keepLines w:val="0"/>
              <w:pageBreakBefore w:val="0"/>
              <w:kinsoku/>
              <w:wordWrap/>
              <w:overflowPunct/>
              <w:topLinePunct w:val="0"/>
              <w:autoSpaceDE/>
              <w:autoSpaceDN/>
              <w:bidi w:val="0"/>
              <w:adjustRightInd/>
              <w:snapToGrid/>
              <w:spacing w:line="580" w:lineRule="exact"/>
              <w:jc w:val="left"/>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（2）经营范围包含设计、制作、发布等服务，符合本服务项目要求；得分上限：5分</w:t>
            </w:r>
          </w:p>
          <w:p>
            <w:pPr>
              <w:pStyle w:val="3"/>
              <w:keepNext w:val="0"/>
              <w:keepLines w:val="0"/>
              <w:pageBreakBefore w:val="0"/>
              <w:kinsoku/>
              <w:wordWrap/>
              <w:overflowPunct/>
              <w:topLinePunct w:val="0"/>
              <w:autoSpaceDE/>
              <w:autoSpaceDN/>
              <w:bidi w:val="0"/>
              <w:adjustRightInd/>
              <w:snapToGrid/>
              <w:spacing w:line="580" w:lineRule="exact"/>
              <w:jc w:val="left"/>
              <w:textAlignment w:val="auto"/>
              <w:rPr>
                <w:rFonts w:hint="eastAsia" w:ascii="方正仿宋_GBK" w:hAnsi="方正仿宋_GBK" w:eastAsia="方正仿宋_GBK" w:cs="方正仿宋_GBK"/>
                <w:color w:val="000000"/>
                <w:kern w:val="0"/>
                <w:sz w:val="24"/>
                <w:szCs w:val="24"/>
                <w:highlight w:val="none"/>
                <w:lang w:eastAsia="zh-CN"/>
              </w:rPr>
            </w:pPr>
            <w:r>
              <w:rPr>
                <w:rFonts w:hint="eastAsia" w:ascii="方正仿宋_GBK" w:hAnsi="方正仿宋_GBK" w:eastAsia="方正仿宋_GBK" w:cs="方正仿宋_GBK"/>
                <w:color w:val="000000"/>
                <w:kern w:val="0"/>
                <w:sz w:val="24"/>
                <w:szCs w:val="24"/>
                <w:highlight w:val="none"/>
              </w:rPr>
              <w:t>（3）提供同类工作项目业绩和案例材料，提供1个得5分；得分上限不超过10分</w:t>
            </w:r>
            <w:r>
              <w:rPr>
                <w:rFonts w:hint="eastAsia" w:ascii="方正仿宋_GBK" w:hAnsi="方正仿宋_GBK" w:eastAsia="方正仿宋_GBK" w:cs="方正仿宋_GBK"/>
                <w:color w:val="000000"/>
                <w:kern w:val="0"/>
                <w:sz w:val="24"/>
                <w:szCs w:val="24"/>
                <w:highlight w:val="none"/>
                <w:lang w:eastAsia="zh-CN"/>
              </w:rPr>
              <w:t>。</w:t>
            </w:r>
          </w:p>
        </w:tc>
        <w:tc>
          <w:tcPr>
            <w:tcW w:w="972"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4" w:hRule="atLeast"/>
          <w:tblHeader/>
          <w:jc w:val="center"/>
        </w:trPr>
        <w:tc>
          <w:tcPr>
            <w:tcW w:w="599"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2</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供应商人员配备</w:t>
            </w:r>
          </w:p>
        </w:tc>
        <w:tc>
          <w:tcPr>
            <w:tcW w:w="6353" w:type="dxa"/>
            <w:tcBorders>
              <w:top w:val="single" w:color="auto" w:sz="4" w:space="0"/>
              <w:left w:val="single" w:color="auto" w:sz="4" w:space="0"/>
              <w:bottom w:val="single" w:color="auto" w:sz="4" w:space="0"/>
              <w:right w:val="single" w:color="auto" w:sz="4" w:space="0"/>
            </w:tcBorders>
            <w:noWrap w:val="0"/>
            <w:vAlign w:val="top"/>
          </w:tcPr>
          <w:p>
            <w:pPr>
              <w:pStyle w:val="3"/>
              <w:keepNext w:val="0"/>
              <w:keepLines w:val="0"/>
              <w:pageBreakBefore w:val="0"/>
              <w:kinsoku/>
              <w:wordWrap/>
              <w:overflowPunct/>
              <w:topLinePunct w:val="0"/>
              <w:autoSpaceDE/>
              <w:autoSpaceDN/>
              <w:bidi w:val="0"/>
              <w:adjustRightInd/>
              <w:snapToGrid/>
              <w:spacing w:line="580" w:lineRule="exact"/>
              <w:jc w:val="left"/>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（1）从事参与本项目的工作人员具有策划设计经验，提供工作人员清单详细信息，具有专业中级职称证书的1个得</w:t>
            </w:r>
            <w:r>
              <w:rPr>
                <w:rFonts w:hint="eastAsia" w:ascii="方正仿宋_GBK" w:hAnsi="方正仿宋_GBK" w:eastAsia="方正仿宋_GBK" w:cs="方正仿宋_GBK"/>
                <w:color w:val="000000"/>
                <w:kern w:val="0"/>
                <w:sz w:val="24"/>
                <w:szCs w:val="24"/>
                <w:highlight w:val="none"/>
                <w:lang w:val="en-US" w:eastAsia="zh-CN"/>
              </w:rPr>
              <w:t>3</w:t>
            </w:r>
            <w:r>
              <w:rPr>
                <w:rFonts w:hint="eastAsia" w:ascii="方正仿宋_GBK" w:hAnsi="方正仿宋_GBK" w:eastAsia="方正仿宋_GBK" w:cs="方正仿宋_GBK"/>
                <w:color w:val="000000"/>
                <w:kern w:val="0"/>
                <w:sz w:val="24"/>
                <w:szCs w:val="24"/>
                <w:highlight w:val="none"/>
              </w:rPr>
              <w:t>分；初级职称证书的1个得</w:t>
            </w:r>
            <w:r>
              <w:rPr>
                <w:rFonts w:hint="eastAsia" w:ascii="方正仿宋_GBK" w:hAnsi="方正仿宋_GBK" w:eastAsia="方正仿宋_GBK" w:cs="方正仿宋_GBK"/>
                <w:color w:val="000000"/>
                <w:kern w:val="0"/>
                <w:sz w:val="24"/>
                <w:szCs w:val="24"/>
                <w:highlight w:val="none"/>
                <w:lang w:val="en-US" w:eastAsia="zh-CN"/>
              </w:rPr>
              <w:t>2</w:t>
            </w:r>
            <w:r>
              <w:rPr>
                <w:rFonts w:hint="eastAsia" w:ascii="方正仿宋_GBK" w:hAnsi="方正仿宋_GBK" w:eastAsia="方正仿宋_GBK" w:cs="方正仿宋_GBK"/>
                <w:color w:val="000000"/>
                <w:kern w:val="0"/>
                <w:sz w:val="24"/>
                <w:szCs w:val="24"/>
                <w:highlight w:val="none"/>
              </w:rPr>
              <w:t>分；从业人员资格证的1个得1分；得分上限不超过10分。</w:t>
            </w:r>
          </w:p>
          <w:p>
            <w:pPr>
              <w:pStyle w:val="3"/>
              <w:keepNext w:val="0"/>
              <w:keepLines w:val="0"/>
              <w:pageBreakBefore w:val="0"/>
              <w:kinsoku/>
              <w:wordWrap/>
              <w:overflowPunct/>
              <w:topLinePunct w:val="0"/>
              <w:autoSpaceDE/>
              <w:autoSpaceDN/>
              <w:bidi w:val="0"/>
              <w:adjustRightInd/>
              <w:snapToGrid/>
              <w:spacing w:line="580" w:lineRule="exact"/>
              <w:jc w:val="left"/>
              <w:textAlignment w:val="auto"/>
              <w:rPr>
                <w:rFonts w:hint="eastAsia" w:ascii="方正仿宋_GBK" w:hAnsi="方正仿宋_GBK" w:eastAsia="方正仿宋_GBK" w:cs="方正仿宋_GBK"/>
                <w:color w:val="000000"/>
                <w:kern w:val="0"/>
                <w:sz w:val="24"/>
                <w:szCs w:val="24"/>
                <w:highlight w:val="none"/>
                <w:lang w:eastAsia="zh-CN"/>
              </w:rPr>
            </w:pPr>
            <w:r>
              <w:rPr>
                <w:rFonts w:hint="eastAsia" w:ascii="方正仿宋_GBK" w:hAnsi="方正仿宋_GBK" w:eastAsia="方正仿宋_GBK" w:cs="方正仿宋_GBK"/>
                <w:color w:val="000000"/>
                <w:kern w:val="0"/>
                <w:sz w:val="24"/>
                <w:szCs w:val="24"/>
                <w:highlight w:val="none"/>
              </w:rPr>
              <w:t>（2）根据本项目业务要求，提供充足的人员配备。按投标单位提供的人员数量排名，人员数量由高至低排名，第一名得10分，第二名得8分，第三名得6分，第四名得4分，第五名及其后的供应商不得分（如人数相同的得分相同）</w:t>
            </w:r>
            <w:r>
              <w:rPr>
                <w:rFonts w:hint="eastAsia" w:ascii="方正仿宋_GBK" w:hAnsi="方正仿宋_GBK" w:eastAsia="方正仿宋_GBK" w:cs="方正仿宋_GBK"/>
                <w:color w:val="000000"/>
                <w:kern w:val="0"/>
                <w:sz w:val="24"/>
                <w:szCs w:val="24"/>
                <w:highlight w:val="none"/>
                <w:lang w:eastAsia="zh-CN"/>
              </w:rPr>
              <w:t>。</w:t>
            </w:r>
          </w:p>
        </w:tc>
        <w:tc>
          <w:tcPr>
            <w:tcW w:w="972"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blHeader/>
          <w:jc w:val="center"/>
        </w:trPr>
        <w:tc>
          <w:tcPr>
            <w:tcW w:w="599"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服务</w:t>
            </w:r>
          </w:p>
          <w:p>
            <w:pPr>
              <w:pStyle w:val="3"/>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方案</w:t>
            </w:r>
          </w:p>
        </w:tc>
        <w:tc>
          <w:tcPr>
            <w:tcW w:w="6353" w:type="dxa"/>
            <w:tcBorders>
              <w:top w:val="single" w:color="auto" w:sz="4" w:space="0"/>
              <w:left w:val="single" w:color="auto" w:sz="4" w:space="0"/>
              <w:bottom w:val="single" w:color="auto" w:sz="4" w:space="0"/>
              <w:right w:val="single" w:color="auto" w:sz="4" w:space="0"/>
            </w:tcBorders>
            <w:noWrap w:val="0"/>
            <w:vAlign w:val="top"/>
          </w:tcPr>
          <w:p>
            <w:pPr>
              <w:pStyle w:val="3"/>
              <w:keepNext w:val="0"/>
              <w:keepLines w:val="0"/>
              <w:pageBreakBefore w:val="0"/>
              <w:kinsoku/>
              <w:wordWrap/>
              <w:overflowPunct/>
              <w:topLinePunct w:val="0"/>
              <w:autoSpaceDE/>
              <w:autoSpaceDN/>
              <w:bidi w:val="0"/>
              <w:adjustRightInd/>
              <w:snapToGrid/>
              <w:spacing w:line="580" w:lineRule="exact"/>
              <w:jc w:val="left"/>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（1）提供完整的创意方案，具体操作流程清晰，包括但不限于，列明各项工作内容如策划设计、流程节点、实施计划等；得分上限：15分</w:t>
            </w:r>
          </w:p>
          <w:p>
            <w:pPr>
              <w:pStyle w:val="3"/>
              <w:keepNext w:val="0"/>
              <w:keepLines w:val="0"/>
              <w:pageBreakBefore w:val="0"/>
              <w:kinsoku/>
              <w:wordWrap/>
              <w:overflowPunct/>
              <w:topLinePunct w:val="0"/>
              <w:autoSpaceDE/>
              <w:autoSpaceDN/>
              <w:bidi w:val="0"/>
              <w:adjustRightInd/>
              <w:snapToGrid/>
              <w:spacing w:line="580" w:lineRule="exact"/>
              <w:jc w:val="left"/>
              <w:textAlignment w:val="auto"/>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rPr>
              <w:t>（2）根据方案要求期限列出项目实施计划，列明具体工作内容、所需工期、成果清单，作出工作承诺书；得分上限：10分</w:t>
            </w:r>
            <w:r>
              <w:rPr>
                <w:rFonts w:hint="eastAsia" w:ascii="方正仿宋_GBK" w:hAnsi="方正仿宋_GBK" w:eastAsia="方正仿宋_GBK" w:cs="方正仿宋_GBK"/>
                <w:color w:val="000000"/>
                <w:kern w:val="0"/>
                <w:sz w:val="24"/>
                <w:szCs w:val="24"/>
                <w:lang w:eastAsia="zh-CN"/>
              </w:rPr>
              <w:t>。</w:t>
            </w:r>
          </w:p>
        </w:tc>
        <w:tc>
          <w:tcPr>
            <w:tcW w:w="972"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overflowPunct/>
              <w:topLinePunct w:val="0"/>
              <w:autoSpaceDE/>
              <w:autoSpaceDN/>
              <w:bidi w:val="0"/>
              <w:adjustRightInd/>
              <w:snapToGrid/>
              <w:spacing w:line="580" w:lineRule="exact"/>
              <w:jc w:val="center"/>
              <w:textAlignment w:val="auto"/>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tblHeader/>
          <w:jc w:val="center"/>
        </w:trPr>
        <w:tc>
          <w:tcPr>
            <w:tcW w:w="599"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售后承诺服务支持</w:t>
            </w:r>
          </w:p>
        </w:tc>
        <w:tc>
          <w:tcPr>
            <w:tcW w:w="6353" w:type="dxa"/>
            <w:tcBorders>
              <w:top w:val="single" w:color="auto" w:sz="4" w:space="0"/>
              <w:left w:val="single" w:color="auto" w:sz="4" w:space="0"/>
              <w:bottom w:val="single" w:color="auto" w:sz="4" w:space="0"/>
              <w:right w:val="single" w:color="auto" w:sz="4" w:space="0"/>
            </w:tcBorders>
            <w:noWrap w:val="0"/>
            <w:vAlign w:val="top"/>
          </w:tcPr>
          <w:p>
            <w:pPr>
              <w:pStyle w:val="3"/>
              <w:keepNext w:val="0"/>
              <w:keepLines w:val="0"/>
              <w:pageBreakBefore w:val="0"/>
              <w:kinsoku/>
              <w:wordWrap/>
              <w:overflowPunct/>
              <w:topLinePunct w:val="0"/>
              <w:autoSpaceDE/>
              <w:autoSpaceDN/>
              <w:bidi w:val="0"/>
              <w:adjustRightInd/>
              <w:snapToGrid/>
              <w:spacing w:line="580" w:lineRule="exact"/>
              <w:jc w:val="left"/>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提供完整售后服务保障清单并详细列明，如服务计划、实施承诺、服务规范、工作程序、服务内容等，提供1个得2分</w:t>
            </w:r>
            <w:r>
              <w:rPr>
                <w:rFonts w:hint="eastAsia" w:ascii="方正仿宋_GBK" w:hAnsi="方正仿宋_GBK" w:eastAsia="方正仿宋_GBK" w:cs="方正仿宋_GBK"/>
                <w:color w:val="000000"/>
                <w:kern w:val="0"/>
                <w:sz w:val="24"/>
                <w:szCs w:val="24"/>
                <w:highlight w:val="none"/>
              </w:rPr>
              <w:t>；</w:t>
            </w:r>
            <w:r>
              <w:rPr>
                <w:rFonts w:hint="eastAsia" w:ascii="方正仿宋_GBK" w:hAnsi="方正仿宋_GBK" w:eastAsia="方正仿宋_GBK" w:cs="方正仿宋_GBK"/>
                <w:color w:val="000000"/>
                <w:kern w:val="0"/>
                <w:sz w:val="24"/>
                <w:szCs w:val="24"/>
              </w:rPr>
              <w:t>得分上限不超过10分；</w:t>
            </w:r>
          </w:p>
          <w:p>
            <w:pPr>
              <w:pStyle w:val="3"/>
              <w:keepNext w:val="0"/>
              <w:keepLines w:val="0"/>
              <w:pageBreakBefore w:val="0"/>
              <w:kinsoku/>
              <w:wordWrap/>
              <w:overflowPunct/>
              <w:topLinePunct w:val="0"/>
              <w:autoSpaceDE/>
              <w:autoSpaceDN/>
              <w:bidi w:val="0"/>
              <w:adjustRightInd/>
              <w:snapToGrid/>
              <w:spacing w:line="580" w:lineRule="exact"/>
              <w:jc w:val="left"/>
              <w:textAlignment w:val="auto"/>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rPr>
              <w:t>明确售后服务组织、具体的人员安排和服务时间；得分上限：10分</w:t>
            </w:r>
            <w:r>
              <w:rPr>
                <w:rFonts w:hint="eastAsia" w:ascii="方正仿宋_GBK" w:hAnsi="方正仿宋_GBK" w:eastAsia="方正仿宋_GBK" w:cs="方正仿宋_GBK"/>
                <w:color w:val="000000"/>
                <w:kern w:val="0"/>
                <w:sz w:val="24"/>
                <w:szCs w:val="24"/>
                <w:lang w:eastAsia="zh-CN"/>
              </w:rPr>
              <w:t>。</w:t>
            </w:r>
          </w:p>
        </w:tc>
        <w:tc>
          <w:tcPr>
            <w:tcW w:w="972"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overflowPunct/>
              <w:topLinePunct w:val="0"/>
              <w:autoSpaceDE/>
              <w:autoSpaceDN/>
              <w:bidi w:val="0"/>
              <w:adjustRightInd/>
              <w:snapToGrid/>
              <w:spacing w:line="580" w:lineRule="exact"/>
              <w:jc w:val="center"/>
              <w:textAlignment w:val="auto"/>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blHeader/>
          <w:jc w:val="center"/>
        </w:trPr>
        <w:tc>
          <w:tcPr>
            <w:tcW w:w="599"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报价</w:t>
            </w:r>
          </w:p>
          <w:p>
            <w:pPr>
              <w:pStyle w:val="3"/>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sz w:val="24"/>
                <w:szCs w:val="24"/>
              </w:rPr>
              <w:t>得分</w:t>
            </w:r>
          </w:p>
        </w:tc>
        <w:tc>
          <w:tcPr>
            <w:tcW w:w="6353"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before="0" w:beforeAutospacing="0" w:after="0" w:afterAutospacing="0" w:line="58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按各响应报价（下浮率）的算术平均值为评分基准价，报价得分折算公式如下：</w:t>
            </w:r>
          </w:p>
          <w:p>
            <w:pPr>
              <w:pStyle w:val="12"/>
              <w:keepNext w:val="0"/>
              <w:keepLines w:val="0"/>
              <w:pageBreakBefore w:val="0"/>
              <w:kinsoku/>
              <w:wordWrap/>
              <w:overflowPunct/>
              <w:topLinePunct w:val="0"/>
              <w:autoSpaceDE/>
              <w:autoSpaceDN/>
              <w:bidi w:val="0"/>
              <w:adjustRightInd/>
              <w:snapToGrid/>
              <w:spacing w:before="0" w:beforeAutospacing="0" w:after="0" w:afterAutospacing="0" w:line="58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drawing>
                <wp:anchor distT="0" distB="0" distL="114300" distR="114300" simplePos="0" relativeHeight="251659264" behindDoc="1" locked="0" layoutInCell="1" allowOverlap="1">
                  <wp:simplePos x="0" y="0"/>
                  <wp:positionH relativeFrom="column">
                    <wp:posOffset>87630</wp:posOffset>
                  </wp:positionH>
                  <wp:positionV relativeFrom="paragraph">
                    <wp:posOffset>39370</wp:posOffset>
                  </wp:positionV>
                  <wp:extent cx="3057525" cy="685165"/>
                  <wp:effectExtent l="0" t="0" r="9525" b="635"/>
                  <wp:wrapTight wrapText="bothSides">
                    <wp:wrapPolygon>
                      <wp:start x="21592" y="-2"/>
                      <wp:lineTo x="0" y="0"/>
                      <wp:lineTo x="0" y="21600"/>
                      <wp:lineTo x="21592" y="21602"/>
                      <wp:lineTo x="8" y="21602"/>
                      <wp:lineTo x="21600" y="21600"/>
                      <wp:lineTo x="21600" y="0"/>
                      <wp:lineTo x="8" y="-2"/>
                      <wp:lineTo x="21592" y="-2"/>
                    </wp:wrapPolygon>
                  </wp:wrapTight>
                  <wp:docPr id="1" name="图片 2" descr="screen_shot_1746770897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screen_shot_1746770897595"/>
                          <pic:cNvPicPr>
                            <a:picLocks noChangeAspect="1"/>
                          </pic:cNvPicPr>
                        </pic:nvPicPr>
                        <pic:blipFill>
                          <a:blip r:embed="rId5"/>
                          <a:stretch>
                            <a:fillRect/>
                          </a:stretch>
                        </pic:blipFill>
                        <pic:spPr>
                          <a:xfrm>
                            <a:off x="0" y="0"/>
                            <a:ext cx="3057525" cy="685165"/>
                          </a:xfrm>
                          <a:prstGeom prst="rect">
                            <a:avLst/>
                          </a:prstGeom>
                          <a:noFill/>
                          <a:ln>
                            <a:noFill/>
                          </a:ln>
                        </pic:spPr>
                      </pic:pic>
                    </a:graphicData>
                  </a:graphic>
                </wp:anchor>
              </w:drawing>
            </w:r>
            <w:r>
              <w:rPr>
                <w:rFonts w:hint="eastAsia" w:ascii="方正仿宋_GBK" w:hAnsi="方正仿宋_GBK" w:eastAsia="方正仿宋_GBK" w:cs="方正仿宋_GBK"/>
                <w:sz w:val="24"/>
                <w:szCs w:val="24"/>
              </w:rPr>
              <w:t>S—报价得分；</w:t>
            </w:r>
          </w:p>
          <w:p>
            <w:pPr>
              <w:pStyle w:val="12"/>
              <w:keepNext w:val="0"/>
              <w:keepLines w:val="0"/>
              <w:pageBreakBefore w:val="0"/>
              <w:kinsoku/>
              <w:wordWrap/>
              <w:overflowPunct/>
              <w:topLinePunct w:val="0"/>
              <w:autoSpaceDE/>
              <w:autoSpaceDN/>
              <w:bidi w:val="0"/>
              <w:adjustRightInd/>
              <w:snapToGrid/>
              <w:spacing w:before="0" w:beforeAutospacing="0" w:after="0" w:afterAutospacing="0" w:line="58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B—响应人的报价（下浮率）；</w:t>
            </w:r>
          </w:p>
          <w:p>
            <w:pPr>
              <w:pStyle w:val="12"/>
              <w:keepNext w:val="0"/>
              <w:keepLines w:val="0"/>
              <w:pageBreakBefore w:val="0"/>
              <w:kinsoku/>
              <w:wordWrap/>
              <w:overflowPunct/>
              <w:topLinePunct w:val="0"/>
              <w:autoSpaceDE/>
              <w:autoSpaceDN/>
              <w:bidi w:val="0"/>
              <w:adjustRightInd/>
              <w:snapToGrid/>
              <w:spacing w:before="0" w:beforeAutospacing="0" w:after="0" w:afterAutospacing="0" w:line="58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A—评分基准价；</w:t>
            </w:r>
          </w:p>
          <w:p>
            <w:pPr>
              <w:pStyle w:val="3"/>
              <w:keepNext w:val="0"/>
              <w:keepLines w:val="0"/>
              <w:pageBreakBefore w:val="0"/>
              <w:kinsoku/>
              <w:wordWrap/>
              <w:overflowPunct/>
              <w:topLinePunct w:val="0"/>
              <w:autoSpaceDE/>
              <w:autoSpaceDN/>
              <w:bidi w:val="0"/>
              <w:adjustRightInd/>
              <w:snapToGrid/>
              <w:spacing w:line="580" w:lineRule="exact"/>
              <w:jc w:val="left"/>
              <w:textAlignment w:val="auto"/>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sz w:val="24"/>
                <w:szCs w:val="24"/>
              </w:rPr>
              <w:t>响应人报价得分最低分为0分，取值保留到小数点后四位</w:t>
            </w:r>
            <w:r>
              <w:rPr>
                <w:rFonts w:hint="eastAsia" w:ascii="方正仿宋_GBK" w:hAnsi="方正仿宋_GBK" w:eastAsia="方正仿宋_GBK" w:cs="方正仿宋_GBK"/>
                <w:sz w:val="24"/>
                <w:szCs w:val="24"/>
                <w:lang w:eastAsia="zh-CN"/>
              </w:rPr>
              <w:t>。</w:t>
            </w:r>
          </w:p>
        </w:tc>
        <w:tc>
          <w:tcPr>
            <w:tcW w:w="972"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overflowPunct/>
              <w:topLinePunct w:val="0"/>
              <w:autoSpaceDE/>
              <w:autoSpaceDN/>
              <w:bidi w:val="0"/>
              <w:adjustRightInd/>
              <w:snapToGrid/>
              <w:spacing w:line="580" w:lineRule="exact"/>
              <w:jc w:val="center"/>
              <w:textAlignment w:val="auto"/>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blHeader/>
          <w:jc w:val="center"/>
        </w:trPr>
        <w:tc>
          <w:tcPr>
            <w:tcW w:w="801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合计</w:t>
            </w:r>
          </w:p>
        </w:tc>
        <w:tc>
          <w:tcPr>
            <w:tcW w:w="9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100</w:t>
            </w:r>
          </w:p>
        </w:tc>
      </w:tr>
    </w:tbl>
    <w:p>
      <w:pPr>
        <w:pStyle w:val="3"/>
        <w:jc w:val="both"/>
        <w:rPr>
          <w:rFonts w:hint="eastAsia" w:ascii="仿宋" w:hAnsi="仿宋" w:cs="仿宋"/>
          <w:color w:val="000000"/>
          <w:kern w:val="0"/>
          <w:sz w:val="21"/>
          <w:szCs w:val="21"/>
        </w:rPr>
      </w:pPr>
    </w:p>
    <w:sectPr>
      <w:footerReference r:id="rId3" w:type="default"/>
      <w:pgSz w:w="11906" w:h="16838"/>
      <w:pgMar w:top="1701" w:right="1701" w:bottom="1701"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仿宋">
    <w:altName w:val="微软雅黑"/>
    <w:panose1 w:val="02010609060101010101"/>
    <w:charset w:val="00"/>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altName w:val="DejaVu Sans"/>
    <w:panose1 w:val="02070309020205020404"/>
    <w:charset w:val="00"/>
    <w:family w:val="modern"/>
    <w:pitch w:val="default"/>
    <w:sig w:usb0="E0002EFF" w:usb1="C0007843" w:usb2="00000009" w:usb3="00000000" w:csb0="400001FF" w:csb1="FFFF0000"/>
  </w:font>
  <w:font w:name="DejaVu Sans">
    <w:panose1 w:val="020B0603030804020204"/>
    <w:charset w:val="00"/>
    <w:family w:val="auto"/>
    <w:pitch w:val="default"/>
    <w:sig w:usb0="E7006EFF" w:usb1="D200FDFF" w:usb2="0A246029" w:usb3="0400200C" w:csb0="600001FF" w:csb1="DFFF0000"/>
  </w:font>
  <w:font w:name="MingLiU">
    <w:altName w:val="Webdings"/>
    <w:panose1 w:val="02020509000000000000"/>
    <w:charset w:val="00"/>
    <w:family w:val="modern"/>
    <w:pitch w:val="default"/>
    <w:sig w:usb0="A00002FF" w:usb1="28CFFCFA" w:usb2="00000016" w:usb3="00000000" w:csb0="00100001" w:csb1="00000000"/>
  </w:font>
  <w:font w:name="Webdings">
    <w:panose1 w:val="02000609000000000000"/>
    <w:charset w:val="00"/>
    <w:family w:val="auto"/>
    <w:pitch w:val="default"/>
    <w:sig w:usb0="800000AF" w:usb1="5000204A" w:usb2="00000000" w:usb3="00000000" w:csb0="20000000" w:csb1="00000000"/>
  </w:font>
  <w:font w:name="Arial">
    <w:altName w:val="Nimbus Roman No9 L"/>
    <w:panose1 w:val="020B0604020202020204"/>
    <w:charset w:val="00"/>
    <w:family w:val="swiss"/>
    <w:pitch w:val="default"/>
    <w:sig w:usb0="E0002EFF" w:usb1="C000785B" w:usb2="00000009" w:usb3="00000000" w:csb0="400001FF" w:csb1="FFFF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pPr>
                          <w:r>
                            <w:t xml:space="preserve">第 </w:t>
                          </w:r>
                          <w:r>
                            <w:fldChar w:fldCharType="begin"/>
                          </w:r>
                          <w:r>
                            <w:instrText xml:space="preserve"> PAGE  \* MERGEFORMAT </w:instrText>
                          </w:r>
                          <w:r>
                            <w:fldChar w:fldCharType="separate"/>
                          </w:r>
                          <w:r>
                            <w:rPr>
                              <w:lang/>
                            </w:rPr>
                            <w:t>10</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zql5uc8AAAAFAQAADwAAAAAAAAABACAAAAA4AAAAZHJzL2Rvd25yZXYueG1sUEsBAhQAFAAA&#10;AAgAh07iQJJHjQTiAQAAzAMAAA4AAAAAAAAAAQAgAAAANAEAAGRycy9lMm9Eb2MueG1sUEsFBgAA&#10;AAAGAAYAWQEAAIgFAAAAAA==&#10;">
              <v:fill on="f" focussize="0,0"/>
              <v:stroke on="f"/>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rPr>
                        <w:lang/>
                      </w:rPr>
                      <w:t>10</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kMDVkZjNlMjBlNWM5NDBjMTkxNTJjYzI1NzM3NDEifQ=="/>
  </w:docVars>
  <w:rsids>
    <w:rsidRoot w:val="008627A9"/>
    <w:rsid w:val="001D42A2"/>
    <w:rsid w:val="008627A9"/>
    <w:rsid w:val="008D7DA9"/>
    <w:rsid w:val="00D92250"/>
    <w:rsid w:val="013E3116"/>
    <w:rsid w:val="01896AF5"/>
    <w:rsid w:val="043F299D"/>
    <w:rsid w:val="052B03DE"/>
    <w:rsid w:val="06833EE0"/>
    <w:rsid w:val="07E3CF0C"/>
    <w:rsid w:val="088C017B"/>
    <w:rsid w:val="09732698"/>
    <w:rsid w:val="09903C9B"/>
    <w:rsid w:val="0CD56A5D"/>
    <w:rsid w:val="0DFF56B4"/>
    <w:rsid w:val="10D36E0D"/>
    <w:rsid w:val="115114E5"/>
    <w:rsid w:val="135A7915"/>
    <w:rsid w:val="13BD78FD"/>
    <w:rsid w:val="13C72890"/>
    <w:rsid w:val="14F43E44"/>
    <w:rsid w:val="15EC2311"/>
    <w:rsid w:val="195853FA"/>
    <w:rsid w:val="196F43D6"/>
    <w:rsid w:val="1AD70E71"/>
    <w:rsid w:val="1BEF1ABB"/>
    <w:rsid w:val="1C1B545B"/>
    <w:rsid w:val="1CDE59B3"/>
    <w:rsid w:val="1DB9419A"/>
    <w:rsid w:val="1DBF4E76"/>
    <w:rsid w:val="1F7F6013"/>
    <w:rsid w:val="204D1A10"/>
    <w:rsid w:val="213A715F"/>
    <w:rsid w:val="22A26F3F"/>
    <w:rsid w:val="23C93BD9"/>
    <w:rsid w:val="24507C5C"/>
    <w:rsid w:val="259E59F3"/>
    <w:rsid w:val="25C62397"/>
    <w:rsid w:val="25C87390"/>
    <w:rsid w:val="25E46D6D"/>
    <w:rsid w:val="2666645D"/>
    <w:rsid w:val="26E34FB2"/>
    <w:rsid w:val="26FB0FF6"/>
    <w:rsid w:val="26FFC0E2"/>
    <w:rsid w:val="28C11B0E"/>
    <w:rsid w:val="2A4B5348"/>
    <w:rsid w:val="2AFF369A"/>
    <w:rsid w:val="2B110324"/>
    <w:rsid w:val="2B261D8B"/>
    <w:rsid w:val="2B4F321F"/>
    <w:rsid w:val="2BE96F01"/>
    <w:rsid w:val="2C0376D4"/>
    <w:rsid w:val="2CEA1692"/>
    <w:rsid w:val="2D024E37"/>
    <w:rsid w:val="2D896AE0"/>
    <w:rsid w:val="2EF65BF8"/>
    <w:rsid w:val="2F345DAD"/>
    <w:rsid w:val="2FA15AF3"/>
    <w:rsid w:val="2FDC6414"/>
    <w:rsid w:val="2FE86522"/>
    <w:rsid w:val="30A35264"/>
    <w:rsid w:val="30F605C3"/>
    <w:rsid w:val="310C1AD5"/>
    <w:rsid w:val="31551018"/>
    <w:rsid w:val="318054E2"/>
    <w:rsid w:val="31E32F08"/>
    <w:rsid w:val="32D57EA5"/>
    <w:rsid w:val="331103DB"/>
    <w:rsid w:val="333D0859"/>
    <w:rsid w:val="334E50BD"/>
    <w:rsid w:val="33E72A2E"/>
    <w:rsid w:val="33EDDD2A"/>
    <w:rsid w:val="33EF0F0E"/>
    <w:rsid w:val="34284809"/>
    <w:rsid w:val="34407E95"/>
    <w:rsid w:val="35420F0F"/>
    <w:rsid w:val="35EA0A2C"/>
    <w:rsid w:val="35F8211C"/>
    <w:rsid w:val="36F837C7"/>
    <w:rsid w:val="371F5B92"/>
    <w:rsid w:val="37D746BF"/>
    <w:rsid w:val="3856126B"/>
    <w:rsid w:val="3CBEC0CA"/>
    <w:rsid w:val="3D6D13E7"/>
    <w:rsid w:val="3D8F230B"/>
    <w:rsid w:val="3D925E7A"/>
    <w:rsid w:val="3DF7AE4E"/>
    <w:rsid w:val="3DFA3C85"/>
    <w:rsid w:val="3FF8864C"/>
    <w:rsid w:val="40E546D3"/>
    <w:rsid w:val="41CD1C29"/>
    <w:rsid w:val="42360234"/>
    <w:rsid w:val="42437F3F"/>
    <w:rsid w:val="42DE4901"/>
    <w:rsid w:val="430B7E53"/>
    <w:rsid w:val="436E7072"/>
    <w:rsid w:val="43A74D7D"/>
    <w:rsid w:val="444E66FE"/>
    <w:rsid w:val="44E16D16"/>
    <w:rsid w:val="454551E7"/>
    <w:rsid w:val="468772B0"/>
    <w:rsid w:val="490A5A30"/>
    <w:rsid w:val="4AA624B4"/>
    <w:rsid w:val="4AF55E45"/>
    <w:rsid w:val="4C0803A6"/>
    <w:rsid w:val="4CBB5674"/>
    <w:rsid w:val="4D462BF4"/>
    <w:rsid w:val="4F116FC7"/>
    <w:rsid w:val="4FBF8A4C"/>
    <w:rsid w:val="52526785"/>
    <w:rsid w:val="5259365B"/>
    <w:rsid w:val="541971FB"/>
    <w:rsid w:val="54D10D5D"/>
    <w:rsid w:val="557F5E46"/>
    <w:rsid w:val="57413687"/>
    <w:rsid w:val="57486385"/>
    <w:rsid w:val="57BA2A41"/>
    <w:rsid w:val="58643B01"/>
    <w:rsid w:val="58B70B90"/>
    <w:rsid w:val="5976568E"/>
    <w:rsid w:val="59A84932"/>
    <w:rsid w:val="5A7E4370"/>
    <w:rsid w:val="5ADD173D"/>
    <w:rsid w:val="5C932D95"/>
    <w:rsid w:val="5CF69280"/>
    <w:rsid w:val="5DB76275"/>
    <w:rsid w:val="5EA06D09"/>
    <w:rsid w:val="5EC7027A"/>
    <w:rsid w:val="5F2588EC"/>
    <w:rsid w:val="5FFF05D1"/>
    <w:rsid w:val="603534EF"/>
    <w:rsid w:val="61FC5618"/>
    <w:rsid w:val="624FF4E4"/>
    <w:rsid w:val="6332564A"/>
    <w:rsid w:val="635C3774"/>
    <w:rsid w:val="646638F8"/>
    <w:rsid w:val="657DA1A1"/>
    <w:rsid w:val="65FF447D"/>
    <w:rsid w:val="663449AC"/>
    <w:rsid w:val="66D44208"/>
    <w:rsid w:val="67CF769F"/>
    <w:rsid w:val="67DC5FF3"/>
    <w:rsid w:val="67FAB856"/>
    <w:rsid w:val="68FB3256"/>
    <w:rsid w:val="690579E7"/>
    <w:rsid w:val="69C922CC"/>
    <w:rsid w:val="6A586CF0"/>
    <w:rsid w:val="6AA72389"/>
    <w:rsid w:val="6ACE39BB"/>
    <w:rsid w:val="6AEF0B28"/>
    <w:rsid w:val="6B6214E3"/>
    <w:rsid w:val="6BFF0A89"/>
    <w:rsid w:val="6C364050"/>
    <w:rsid w:val="6CDF7BCE"/>
    <w:rsid w:val="6D5F0695"/>
    <w:rsid w:val="6E160969"/>
    <w:rsid w:val="6ED06404"/>
    <w:rsid w:val="6FCC07C5"/>
    <w:rsid w:val="6FD7DBE7"/>
    <w:rsid w:val="6FDE80A7"/>
    <w:rsid w:val="6FDF16CB"/>
    <w:rsid w:val="6FF29DEB"/>
    <w:rsid w:val="6FFD3CB0"/>
    <w:rsid w:val="6FFFB986"/>
    <w:rsid w:val="707F3B41"/>
    <w:rsid w:val="72734A09"/>
    <w:rsid w:val="734F61A2"/>
    <w:rsid w:val="735545A3"/>
    <w:rsid w:val="73B768E0"/>
    <w:rsid w:val="73BBAA5C"/>
    <w:rsid w:val="73FF2637"/>
    <w:rsid w:val="750210CE"/>
    <w:rsid w:val="77EBAC5B"/>
    <w:rsid w:val="77FF435B"/>
    <w:rsid w:val="781508AA"/>
    <w:rsid w:val="79180770"/>
    <w:rsid w:val="792F71B0"/>
    <w:rsid w:val="79DF04D7"/>
    <w:rsid w:val="79E91C44"/>
    <w:rsid w:val="7AB4720D"/>
    <w:rsid w:val="7AFF2BC0"/>
    <w:rsid w:val="7B026A4C"/>
    <w:rsid w:val="7BAE877F"/>
    <w:rsid w:val="7BF7EC0C"/>
    <w:rsid w:val="7C6B04FF"/>
    <w:rsid w:val="7C7954F8"/>
    <w:rsid w:val="7C80044E"/>
    <w:rsid w:val="7C9254A4"/>
    <w:rsid w:val="7CC73307"/>
    <w:rsid w:val="7D211504"/>
    <w:rsid w:val="7DFF7A35"/>
    <w:rsid w:val="7E871C12"/>
    <w:rsid w:val="7EDFFCDE"/>
    <w:rsid w:val="7EFF5D96"/>
    <w:rsid w:val="7F4FB1F9"/>
    <w:rsid w:val="7FBDD426"/>
    <w:rsid w:val="7FCB4E28"/>
    <w:rsid w:val="7FCD552E"/>
    <w:rsid w:val="7FD1BD7C"/>
    <w:rsid w:val="7FDF2E74"/>
    <w:rsid w:val="7FDF5EE9"/>
    <w:rsid w:val="7FEF84E1"/>
    <w:rsid w:val="7FFA9DDB"/>
    <w:rsid w:val="8FB3ABFE"/>
    <w:rsid w:val="977E714D"/>
    <w:rsid w:val="9DFF7ED0"/>
    <w:rsid w:val="9FBF2F34"/>
    <w:rsid w:val="A838CED1"/>
    <w:rsid w:val="ADDB46B3"/>
    <w:rsid w:val="AFFCE927"/>
    <w:rsid w:val="B59FF69E"/>
    <w:rsid w:val="B5FF90E7"/>
    <w:rsid w:val="B6FF22B6"/>
    <w:rsid w:val="B9DF781D"/>
    <w:rsid w:val="B9EF05C9"/>
    <w:rsid w:val="BBB7B7AC"/>
    <w:rsid w:val="BC7D713F"/>
    <w:rsid w:val="BDF301F2"/>
    <w:rsid w:val="BEBA8CA0"/>
    <w:rsid w:val="BFAF0669"/>
    <w:rsid w:val="BFFAA907"/>
    <w:rsid w:val="BFFFA38B"/>
    <w:rsid w:val="C3EA5F6C"/>
    <w:rsid w:val="CBBFCA1C"/>
    <w:rsid w:val="CD8FFCE4"/>
    <w:rsid w:val="CFB78698"/>
    <w:rsid w:val="D5EBEB19"/>
    <w:rsid w:val="D6FF465C"/>
    <w:rsid w:val="DBB99D82"/>
    <w:rsid w:val="DBEFBD21"/>
    <w:rsid w:val="DBFE4EB9"/>
    <w:rsid w:val="DCFB88DA"/>
    <w:rsid w:val="DDBDFC1C"/>
    <w:rsid w:val="DE74E5AE"/>
    <w:rsid w:val="DFE54F1E"/>
    <w:rsid w:val="DFFF0BF6"/>
    <w:rsid w:val="DFFFC0C5"/>
    <w:rsid w:val="E5FFC706"/>
    <w:rsid w:val="E9F6E16E"/>
    <w:rsid w:val="ED3F3441"/>
    <w:rsid w:val="EDECCFC6"/>
    <w:rsid w:val="EF7E7406"/>
    <w:rsid w:val="EFF3E4E5"/>
    <w:rsid w:val="F4BF9A33"/>
    <w:rsid w:val="F5FDB8E9"/>
    <w:rsid w:val="F67CE29F"/>
    <w:rsid w:val="F7AE7F11"/>
    <w:rsid w:val="F7ED9471"/>
    <w:rsid w:val="F7FFF1D2"/>
    <w:rsid w:val="FB9F021C"/>
    <w:rsid w:val="FBFBF011"/>
    <w:rsid w:val="FDE64873"/>
    <w:rsid w:val="FE7FD9CF"/>
    <w:rsid w:val="FFBE9B0E"/>
    <w:rsid w:val="FFEBE3F8"/>
    <w:rsid w:val="FFEF9B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kern w:val="2"/>
      <w:sz w:val="24"/>
      <w:szCs w:val="24"/>
      <w:lang w:val="en-US" w:eastAsia="zh-CN" w:bidi="ar-SA"/>
    </w:rPr>
  </w:style>
  <w:style w:type="character" w:default="1" w:styleId="16">
    <w:name w:val="Default Paragraph Font"/>
    <w:semiHidden/>
    <w:qFormat/>
    <w:uiPriority w:val="0"/>
  </w:style>
  <w:style w:type="table" w:default="1" w:styleId="14">
    <w:name w:val="Normal Table"/>
    <w:semiHidden/>
    <w:qFormat/>
    <w:uiPriority w:val="0"/>
    <w:tblPr>
      <w:tblStyle w:val="14"/>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pPr>
      <w:spacing w:line="360" w:lineRule="auto"/>
    </w:pPr>
    <w:rPr>
      <w:rFonts w:ascii="仿宋_GB2312"/>
      <w:sz w:val="28"/>
    </w:rPr>
  </w:style>
  <w:style w:type="paragraph" w:styleId="4">
    <w:name w:val="Body Text Indent"/>
    <w:basedOn w:val="1"/>
    <w:unhideWhenUsed/>
    <w:qFormat/>
    <w:uiPriority w:val="99"/>
    <w:pPr>
      <w:spacing w:after="120"/>
      <w:ind w:left="420" w:leftChars="200"/>
    </w:pPr>
  </w:style>
  <w:style w:type="paragraph" w:styleId="5">
    <w:name w:val="toc 3"/>
    <w:basedOn w:val="1"/>
    <w:next w:val="1"/>
    <w:qFormat/>
    <w:uiPriority w:val="0"/>
    <w:pPr>
      <w:ind w:left="840" w:leftChars="400"/>
    </w:pPr>
  </w:style>
  <w:style w:type="paragraph" w:styleId="6">
    <w:name w:val="Plain Text"/>
    <w:basedOn w:val="1"/>
    <w:qFormat/>
    <w:uiPriority w:val="0"/>
    <w:rPr>
      <w:rFonts w:ascii="宋体" w:hAnsi="Courier New"/>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toc 4"/>
    <w:basedOn w:val="1"/>
    <w:next w:val="1"/>
    <w:qFormat/>
    <w:uiPriority w:val="0"/>
    <w:pPr>
      <w:ind w:left="1260" w:leftChars="600"/>
    </w:pPr>
  </w:style>
  <w:style w:type="paragraph" w:styleId="11">
    <w:name w:val="toc 2"/>
    <w:basedOn w:val="1"/>
    <w:next w:val="1"/>
    <w:qFormat/>
    <w:uiPriority w:val="0"/>
    <w:pPr>
      <w:ind w:left="420" w:leftChars="200"/>
    </w:pPr>
  </w:style>
  <w:style w:type="paragraph" w:styleId="12">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paragraph" w:styleId="13">
    <w:name w:val="Body Text First Indent 2"/>
    <w:basedOn w:val="4"/>
    <w:unhideWhenUsed/>
    <w:qFormat/>
    <w:uiPriority w:val="99"/>
    <w:pPr>
      <w:ind w:firstLine="420" w:firstLineChars="200"/>
    </w:pPr>
    <w:rPr>
      <w:rFonts w:cs="Times New Roman"/>
      <w:szCs w:val="24"/>
    </w:rPr>
  </w:style>
  <w:style w:type="table" w:styleId="15">
    <w:name w:val="Table Grid"/>
    <w:basedOn w:val="14"/>
    <w:qFormat/>
    <w:uiPriority w:val="0"/>
    <w:tblPr>
      <w:tblStyle w:val="1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Emphasis"/>
    <w:qFormat/>
    <w:uiPriority w:val="20"/>
    <w:rPr>
      <w:i/>
      <w:iCs/>
    </w:rPr>
  </w:style>
  <w:style w:type="character" w:styleId="18">
    <w:name w:val="Hyperlink"/>
    <w:qFormat/>
    <w:uiPriority w:val="0"/>
    <w:rPr>
      <w:color w:val="0000FF"/>
      <w:u w:val="single"/>
    </w:rPr>
  </w:style>
  <w:style w:type="paragraph" w:styleId="19">
    <w:name w:val="List Paragraph"/>
    <w:basedOn w:val="1"/>
    <w:qFormat/>
    <w:uiPriority w:val="99"/>
    <w:pPr>
      <w:ind w:firstLine="420" w:firstLineChars="200"/>
    </w:pPr>
  </w:style>
  <w:style w:type="character" w:customStyle="1" w:styleId="20">
    <w:name w:val="font21"/>
    <w:qFormat/>
    <w:uiPriority w:val="0"/>
    <w:rPr>
      <w:rFonts w:hint="eastAsia" w:ascii="MingLiU" w:hAnsi="MingLiU" w:eastAsia="MingLiU" w:cs="MingLiU"/>
      <w:color w:val="000000"/>
      <w:sz w:val="32"/>
      <w:szCs w:val="32"/>
      <w:u w:val="none"/>
    </w:rPr>
  </w:style>
  <w:style w:type="character" w:customStyle="1" w:styleId="21">
    <w:name w:val="font11"/>
    <w:qFormat/>
    <w:uiPriority w:val="0"/>
    <w:rPr>
      <w:rFonts w:hint="eastAsia" w:ascii="MingLiU" w:hAnsi="MingLiU" w:eastAsia="MingLiU" w:cs="MingLiU"/>
      <w:color w:val="000000"/>
      <w:sz w:val="22"/>
      <w:szCs w:val="22"/>
      <w:u w:val="none"/>
    </w:rPr>
  </w:style>
  <w:style w:type="character" w:customStyle="1" w:styleId="22">
    <w:name w:val="font41"/>
    <w:qFormat/>
    <w:uiPriority w:val="0"/>
    <w:rPr>
      <w:rFonts w:hint="eastAsia" w:ascii="MingLiU" w:hAnsi="MingLiU" w:eastAsia="MingLiU" w:cs="MingLiU"/>
      <w:color w:val="000000"/>
      <w:sz w:val="20"/>
      <w:szCs w:val="20"/>
      <w:u w:val="none"/>
    </w:rPr>
  </w:style>
  <w:style w:type="character" w:customStyle="1" w:styleId="23">
    <w:name w:val="font51"/>
    <w:qFormat/>
    <w:uiPriority w:val="0"/>
    <w:rPr>
      <w:rFonts w:hint="eastAsia" w:ascii="宋体" w:hAnsi="宋体" w:eastAsia="宋体" w:cs="宋体"/>
      <w:color w:val="000000"/>
      <w:sz w:val="20"/>
      <w:szCs w:val="20"/>
      <w:u w:val="none"/>
    </w:rPr>
  </w:style>
  <w:style w:type="character" w:customStyle="1" w:styleId="24">
    <w:name w:val="font31"/>
    <w:qFormat/>
    <w:uiPriority w:val="0"/>
    <w:rPr>
      <w:rFonts w:hint="default" w:ascii="Arial" w:hAnsi="Arial" w:cs="Arial"/>
      <w:color w:val="000000"/>
      <w:sz w:val="20"/>
      <w:szCs w:val="20"/>
      <w:u w:val="none"/>
    </w:rPr>
  </w:style>
  <w:style w:type="paragraph" w:customStyle="1" w:styleId="25">
    <w:name w:val="WPSOffice手动目录 1"/>
    <w:qFormat/>
    <w:uiPriority w:val="0"/>
    <w:rPr>
      <w:lang w:val="en-US" w:eastAsia="zh-CN" w:bidi="ar-SA"/>
    </w:rPr>
  </w:style>
  <w:style w:type="paragraph" w:customStyle="1" w:styleId="26">
    <w:name w:val="WPSOffice手动目录 2"/>
    <w:qFormat/>
    <w:uiPriority w:val="0"/>
    <w:pPr>
      <w:ind w:leftChars="200"/>
    </w:pPr>
    <w:rPr>
      <w:lang w:val="en-US" w:eastAsia="zh-CN" w:bidi="ar-SA"/>
    </w:rPr>
  </w:style>
  <w:style w:type="paragraph" w:customStyle="1" w:styleId="27">
    <w:name w:val="WPSOffice手动目录 3"/>
    <w:qFormat/>
    <w:uiPriority w:val="0"/>
    <w:pPr>
      <w:ind w:leftChars="400"/>
    </w:pPr>
    <w:rPr>
      <w:lang w:val="en-US" w:eastAsia="zh-CN" w:bidi="ar-SA"/>
    </w:rPr>
  </w:style>
  <w:style w:type="paragraph" w:customStyle="1" w:styleId="28">
    <w:name w:val="文档正文"/>
    <w:basedOn w:val="1"/>
    <w:qFormat/>
    <w:uiPriority w:val="0"/>
    <w:pPr>
      <w:spacing w:before="60" w:after="60" w:line="360" w:lineRule="auto"/>
      <w:ind w:firstLine="482"/>
    </w:pPr>
    <w:rPr>
      <w:rFonts w:ascii="仿宋" w:hAnsi="仿宋" w:eastAsia="仿宋"/>
      <w:sz w:val="30"/>
      <w:szCs w:val="30"/>
    </w:rPr>
  </w:style>
  <w:style w:type="paragraph" w:customStyle="1" w:styleId="29">
    <w:name w:val="正文缩进2格"/>
    <w:basedOn w:val="1"/>
    <w:qFormat/>
    <w:uiPriority w:val="0"/>
    <w:pPr>
      <w:spacing w:line="600" w:lineRule="exact"/>
      <w:ind w:firstLine="639" w:firstLineChars="206"/>
    </w:pPr>
    <w:rPr>
      <w:rFonts w:ascii="仿宋_GB2312" w:hAnsi="宋体" w:eastAsia="仿宋_GB2312"/>
      <w:sz w:val="31"/>
    </w:rPr>
  </w:style>
  <w:style w:type="character" w:customStyle="1" w:styleId="30">
    <w:name w:val="font61"/>
    <w:qFormat/>
    <w:uiPriority w:val="0"/>
    <w:rPr>
      <w:rFonts w:hint="default" w:ascii="方正黑体_GBK" w:hAnsi="方正黑体_GBK" w:eastAsia="方正黑体_GBK" w:cs="方正黑体_GBK"/>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9</Pages>
  <Words>2441</Words>
  <Characters>2532</Characters>
  <Lines>29</Lines>
  <Paragraphs>8</Paragraphs>
  <TotalTime>33.3333333333333</TotalTime>
  <ScaleCrop>false</ScaleCrop>
  <LinksUpToDate>false</LinksUpToDate>
  <CharactersWithSpaces>2534</CharactersWithSpaces>
  <Application>WPS Office_12.8.2.15290_F1E327BC-269C-435d-A152-05C5408002CA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2025-05-15T16:40:00Z</dcterms:created>
  <dc:creator>Administrator</dc:creator>
  <cp:lastModifiedBy>LXC</cp:lastModifiedBy>
  <cp:lastPrinted>2025-03-21T11:16:00Z</cp:lastPrinted>
  <dcterms:modified xsi:type="dcterms:W3CDTF">2025-06-27T09:16:17Z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2052-12.8.2.15290</vt:lpwstr>
  </property>
  <property fmtid="{D5CDD505-2E9C-101B-9397-08002B2CF9AE}" pid="3" name="ICV">
    <vt:lpwstr>ADF435502AF0351EE1F05D68E80F376F_43</vt:lpwstr>
  </property>
  <property fmtid="{D5CDD505-2E9C-101B-9397-08002B2CF9AE}" pid="4" name="KSOTemplateDocerSaveRecord">
    <vt:lpwstr>eyJoZGlkIjoiZWNkMDVkZjNlMjBlNWM5NDBjMTkxNTJjYzI1NzM3NDEiLCJ1c2VySWQiOiI1Mzk4NTY5NzAifQ==</vt:lpwstr>
  </property>
</Properties>
</file>