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FDA93">
      <w:pPr>
        <w:pageBreakBefore w:val="0"/>
        <w:kinsoku/>
        <w:overflowPunct/>
        <w:topLinePunct w:val="0"/>
        <w:bidi w:val="0"/>
        <w:spacing w:line="460" w:lineRule="exact"/>
        <w:ind w:right="864" w:rightChars="288"/>
        <w:jc w:val="left"/>
        <w:rPr>
          <w:rFonts w:hint="default" w:ascii="方正仿宋_GBK" w:eastAsia="方正仿宋_GBK"/>
          <w:b/>
          <w:bCs/>
          <w:sz w:val="32"/>
          <w:szCs w:val="32"/>
          <w:lang w:val="en-US" w:eastAsia="zh-CN"/>
        </w:rPr>
      </w:pPr>
      <w:bookmarkStart w:id="0" w:name="_GoBack"/>
      <w:r>
        <w:rPr>
          <w:rFonts w:hint="eastAsia" w:ascii="方正仿宋_GBK" w:eastAsia="方正仿宋_GBK"/>
          <w:b/>
          <w:bCs/>
          <w:sz w:val="32"/>
          <w:szCs w:val="32"/>
          <w:lang w:val="en-US" w:eastAsia="zh-CN"/>
        </w:rPr>
        <w:t>附件3</w:t>
      </w:r>
    </w:p>
    <w:bookmarkEnd w:id="0"/>
    <w:p w14:paraId="7B2C1F23">
      <w:pPr>
        <w:pageBreakBefore w:val="0"/>
        <w:kinsoku/>
        <w:overflowPunct/>
        <w:topLinePunct w:val="0"/>
        <w:bidi w:val="0"/>
        <w:spacing w:line="460" w:lineRule="exact"/>
        <w:ind w:right="864" w:rightChars="288"/>
        <w:jc w:val="center"/>
        <w:rPr>
          <w:rFonts w:hint="default" w:ascii="方正仿宋_GBK" w:eastAsia="方正仿宋_GBK"/>
          <w:b/>
          <w:bCs/>
          <w:sz w:val="44"/>
          <w:szCs w:val="44"/>
          <w:lang w:val="en-US" w:eastAsia="zh-CN"/>
        </w:rPr>
      </w:pPr>
      <w:r>
        <w:rPr>
          <w:rFonts w:hint="eastAsia" w:ascii="方正仿宋_GBK" w:eastAsia="方正仿宋_GBK"/>
          <w:b/>
          <w:bCs/>
          <w:sz w:val="44"/>
          <w:szCs w:val="44"/>
          <w:lang w:val="en-US" w:eastAsia="zh-CN"/>
        </w:rPr>
        <w:t>评分表</w:t>
      </w:r>
    </w:p>
    <w:p w14:paraId="14154A32">
      <w:pPr>
        <w:pStyle w:val="3"/>
        <w:rPr>
          <w:rFonts w:hint="eastAsia"/>
          <w:lang w:val="en-US" w:eastAsia="zh-CN"/>
        </w:rPr>
      </w:pPr>
    </w:p>
    <w:p w14:paraId="175FF585">
      <w:pPr>
        <w:pageBreakBefore w:val="0"/>
        <w:kinsoku/>
        <w:overflowPunct/>
        <w:topLinePunct w:val="0"/>
        <w:bidi w:val="0"/>
        <w:spacing w:line="460" w:lineRule="exact"/>
        <w:ind w:left="3006" w:leftChars="214" w:right="864" w:rightChars="288" w:hanging="2364" w:hangingChars="736"/>
        <w:rPr>
          <w:rFonts w:hint="default" w:ascii="Times New Roman" w:hAnsi="Times New Roman" w:eastAsia="方正仿宋_GBK" w:cs="Times New Roman"/>
          <w:sz w:val="32"/>
          <w:szCs w:val="32"/>
          <w:lang w:val="en-US" w:eastAsia="zh-CN"/>
        </w:rPr>
      </w:pPr>
      <w:r>
        <w:rPr>
          <w:rFonts w:hint="eastAsia" w:ascii="方正仿宋_GBK" w:eastAsia="方正仿宋_GBK"/>
          <w:b/>
          <w:bCs/>
          <w:sz w:val="32"/>
          <w:szCs w:val="32"/>
          <w:lang w:val="en-US" w:eastAsia="zh-CN"/>
        </w:rPr>
        <w:t>项目名称及编号：</w:t>
      </w:r>
      <w:r>
        <w:rPr>
          <w:rFonts w:hint="default" w:ascii="Times New Roman" w:hAnsi="Times New Roman" w:eastAsia="方正仿宋_GBK" w:cs="Times New Roman"/>
          <w:sz w:val="32"/>
          <w:szCs w:val="32"/>
          <w:lang w:val="en-US" w:eastAsia="zh-CN"/>
        </w:rPr>
        <w:t>2025年江门市生态环境执法应急装备购置项目（鹤山市）</w:t>
      </w:r>
    </w:p>
    <w:p w14:paraId="6B63FC0C">
      <w:pPr>
        <w:pageBreakBefore w:val="0"/>
        <w:kinsoku/>
        <w:overflowPunct/>
        <w:topLinePunct w:val="0"/>
        <w:bidi w:val="0"/>
        <w:spacing w:line="460" w:lineRule="exact"/>
        <w:ind w:right="864" w:rightChars="288" w:firstLine="643" w:firstLineChars="200"/>
        <w:rPr>
          <w:rFonts w:hint="default" w:ascii="方正仿宋_GBK" w:eastAsia="方正仿宋_GBK"/>
          <w:b/>
          <w:bCs/>
          <w:sz w:val="32"/>
          <w:szCs w:val="32"/>
          <w:lang w:val="en-US" w:eastAsia="zh-CN"/>
        </w:rPr>
      </w:pPr>
      <w:r>
        <w:rPr>
          <w:rFonts w:hint="default" w:ascii="方正仿宋_GBK" w:hAnsi="Times New Roman" w:eastAsia="方正仿宋_GBK" w:cs="Times New Roman"/>
          <w:b/>
          <w:bCs/>
          <w:sz w:val="32"/>
          <w:szCs w:val="32"/>
          <w:lang w:val="en-US" w:eastAsia="zh-CN"/>
        </w:rPr>
        <w:t>项目编号：</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508</w:t>
      </w:r>
    </w:p>
    <w:p w14:paraId="21358673">
      <w:pPr>
        <w:pStyle w:val="3"/>
        <w:rPr>
          <w:rFonts w:hint="eastAsia" w:ascii="方正仿宋_GBK" w:eastAsia="方正仿宋_GBK"/>
          <w:b w:val="0"/>
          <w:bCs w:val="0"/>
          <w:sz w:val="32"/>
          <w:szCs w:val="32"/>
          <w:lang w:val="en-US" w:eastAsia="zh-CN"/>
        </w:rPr>
      </w:pPr>
      <w:r>
        <w:rPr>
          <w:rFonts w:hint="eastAsia" w:ascii="方正仿宋_GBK" w:eastAsia="方正仿宋_GBK"/>
          <w:b/>
          <w:bCs/>
          <w:sz w:val="32"/>
          <w:szCs w:val="32"/>
          <w:lang w:val="en-US" w:eastAsia="zh-CN"/>
        </w:rPr>
        <w:t xml:space="preserve">自评单位名称：                                   </w:t>
      </w:r>
      <w:r>
        <w:rPr>
          <w:rFonts w:hint="eastAsia" w:ascii="方正仿宋_GBK" w:eastAsia="方正仿宋_GBK"/>
          <w:b w:val="0"/>
          <w:bCs w:val="0"/>
          <w:sz w:val="32"/>
          <w:szCs w:val="32"/>
          <w:lang w:val="en-US" w:eastAsia="zh-CN"/>
        </w:rPr>
        <w:t>（盖章）</w:t>
      </w:r>
    </w:p>
    <w:tbl>
      <w:tblPr>
        <w:tblStyle w:val="7"/>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779"/>
        <w:gridCol w:w="5462"/>
        <w:gridCol w:w="801"/>
        <w:gridCol w:w="1024"/>
        <w:gridCol w:w="849"/>
      </w:tblGrid>
      <w:tr w14:paraId="7C88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5B2F569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类别</w:t>
            </w:r>
          </w:p>
        </w:tc>
        <w:tc>
          <w:tcPr>
            <w:tcW w:w="395" w:type="pct"/>
            <w:tcBorders>
              <w:top w:val="single" w:color="auto" w:sz="4" w:space="0"/>
              <w:left w:val="single" w:color="auto" w:sz="4" w:space="0"/>
              <w:bottom w:val="single" w:color="auto" w:sz="4" w:space="0"/>
              <w:right w:val="single" w:color="auto" w:sz="4" w:space="0"/>
            </w:tcBorders>
            <w:vAlign w:val="center"/>
          </w:tcPr>
          <w:p w14:paraId="02E545B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评分内容</w:t>
            </w:r>
          </w:p>
        </w:tc>
        <w:tc>
          <w:tcPr>
            <w:tcW w:w="2768" w:type="pct"/>
            <w:tcBorders>
              <w:top w:val="single" w:color="auto" w:sz="4" w:space="0"/>
              <w:left w:val="single" w:color="auto" w:sz="4" w:space="0"/>
              <w:bottom w:val="single" w:color="auto" w:sz="4" w:space="0"/>
              <w:right w:val="single" w:color="auto" w:sz="4" w:space="0"/>
            </w:tcBorders>
            <w:vAlign w:val="center"/>
          </w:tcPr>
          <w:p w14:paraId="63A66C7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评分标准</w:t>
            </w:r>
          </w:p>
        </w:tc>
        <w:tc>
          <w:tcPr>
            <w:tcW w:w="405" w:type="pct"/>
            <w:tcBorders>
              <w:top w:val="single" w:color="auto" w:sz="4" w:space="0"/>
              <w:left w:val="single" w:color="auto" w:sz="4" w:space="0"/>
              <w:bottom w:val="single" w:color="auto" w:sz="4" w:space="0"/>
              <w:right w:val="single" w:color="auto" w:sz="4" w:space="0"/>
            </w:tcBorders>
            <w:vAlign w:val="center"/>
          </w:tcPr>
          <w:p w14:paraId="0302FA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分值</w:t>
            </w:r>
          </w:p>
        </w:tc>
        <w:tc>
          <w:tcPr>
            <w:tcW w:w="519" w:type="pct"/>
            <w:tcBorders>
              <w:top w:val="single" w:color="auto" w:sz="4" w:space="0"/>
              <w:left w:val="single" w:color="auto" w:sz="4" w:space="0"/>
              <w:bottom w:val="single" w:color="auto" w:sz="4" w:space="0"/>
              <w:right w:val="single" w:color="auto" w:sz="4" w:space="0"/>
            </w:tcBorders>
            <w:vAlign w:val="center"/>
          </w:tcPr>
          <w:p w14:paraId="2263467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自评分</w:t>
            </w:r>
          </w:p>
        </w:tc>
        <w:tc>
          <w:tcPr>
            <w:tcW w:w="430" w:type="pct"/>
            <w:tcBorders>
              <w:top w:val="single" w:color="auto" w:sz="4" w:space="0"/>
              <w:left w:val="single" w:color="auto" w:sz="4" w:space="0"/>
              <w:bottom w:val="single" w:color="auto" w:sz="4" w:space="0"/>
              <w:right w:val="single" w:color="auto" w:sz="4" w:space="0"/>
            </w:tcBorders>
            <w:vAlign w:val="center"/>
          </w:tcPr>
          <w:p w14:paraId="043522A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页码</w:t>
            </w:r>
          </w:p>
        </w:tc>
      </w:tr>
      <w:tr w14:paraId="7C5B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481" w:type="pct"/>
            <w:vMerge w:val="restart"/>
            <w:tcBorders>
              <w:left w:val="single" w:color="auto" w:sz="4" w:space="0"/>
              <w:right w:val="single" w:color="auto" w:sz="4" w:space="0"/>
            </w:tcBorders>
            <w:vAlign w:val="center"/>
          </w:tcPr>
          <w:p w14:paraId="0C2D98B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技术</w:t>
            </w:r>
            <w:r>
              <w:rPr>
                <w:rFonts w:hint="eastAsia" w:ascii="方正仿宋_GBK" w:hAnsi="方正仿宋_GBK" w:eastAsia="方正仿宋_GBK" w:cs="方正仿宋_GBK"/>
                <w:sz w:val="24"/>
                <w:szCs w:val="24"/>
              </w:rPr>
              <w:t>商务部分</w:t>
            </w:r>
          </w:p>
          <w:p w14:paraId="7A88B2C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u w:val="none"/>
              </w:rPr>
              <w:t>0</w:t>
            </w:r>
            <w:r>
              <w:rPr>
                <w:rFonts w:hint="eastAsia" w:ascii="方正仿宋_GBK" w:hAnsi="方正仿宋_GBK" w:eastAsia="方正仿宋_GBK" w:cs="方正仿宋_GBK"/>
                <w:sz w:val="24"/>
                <w:szCs w:val="24"/>
              </w:rPr>
              <w:t>分）</w:t>
            </w:r>
          </w:p>
        </w:tc>
        <w:tc>
          <w:tcPr>
            <w:tcW w:w="395" w:type="pct"/>
            <w:tcBorders>
              <w:top w:val="single" w:color="auto" w:sz="4" w:space="0"/>
              <w:left w:val="single" w:color="auto" w:sz="4" w:space="0"/>
              <w:right w:val="single" w:color="auto" w:sz="4" w:space="0"/>
            </w:tcBorders>
            <w:vAlign w:val="center"/>
          </w:tcPr>
          <w:p w14:paraId="209B2D4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产品的重要技术参数情况</w:t>
            </w:r>
          </w:p>
        </w:tc>
        <w:tc>
          <w:tcPr>
            <w:tcW w:w="2768" w:type="pct"/>
            <w:tcBorders>
              <w:top w:val="single" w:color="auto" w:sz="4" w:space="0"/>
              <w:left w:val="single" w:color="auto" w:sz="4" w:space="0"/>
              <w:bottom w:val="single" w:color="auto" w:sz="4" w:space="0"/>
              <w:right w:val="single" w:color="auto" w:sz="4" w:space="0"/>
            </w:tcBorders>
            <w:vAlign w:val="center"/>
          </w:tcPr>
          <w:p w14:paraId="682EF5F8">
            <w:pPr>
              <w:pStyle w:val="4"/>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left"/>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项目需求中▲项（共15项）满足的，每一项得2分；其他非▲项（共20项）满足的，每一项得0.5分，最高得分40分。</w:t>
            </w:r>
          </w:p>
          <w:p w14:paraId="3F7DB92B">
            <w:pPr>
              <w:pStyle w:val="4"/>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left"/>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备注：若项目需求有要求，供应商按要求规定提供相应佐证材料；若需求没有要求的，需自行提供相应的证明材料。提供的佐证材料或证明材料复印件需加盖供应商公章，未提供或提供不全不得分。</w:t>
            </w:r>
          </w:p>
        </w:tc>
        <w:tc>
          <w:tcPr>
            <w:tcW w:w="405" w:type="pct"/>
            <w:tcBorders>
              <w:top w:val="single" w:color="auto" w:sz="4" w:space="0"/>
              <w:left w:val="single" w:color="auto" w:sz="4" w:space="0"/>
              <w:bottom w:val="single" w:color="auto" w:sz="4" w:space="0"/>
              <w:right w:val="single" w:color="auto" w:sz="4" w:space="0"/>
            </w:tcBorders>
            <w:vAlign w:val="center"/>
          </w:tcPr>
          <w:p w14:paraId="7763BBF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lang w:val="en-US" w:eastAsia="zh-CN"/>
              </w:rPr>
              <w:t>40</w:t>
            </w:r>
            <w:r>
              <w:rPr>
                <w:rFonts w:hint="eastAsia" w:ascii="方正仿宋_GBK" w:hAnsi="方正仿宋_GBK" w:eastAsia="方正仿宋_GBK" w:cs="方正仿宋_GBK"/>
                <w:sz w:val="24"/>
                <w:szCs w:val="24"/>
              </w:rPr>
              <w:t>分</w:t>
            </w:r>
          </w:p>
        </w:tc>
        <w:tc>
          <w:tcPr>
            <w:tcW w:w="519" w:type="pct"/>
            <w:tcBorders>
              <w:top w:val="single" w:color="auto" w:sz="4" w:space="0"/>
              <w:left w:val="single" w:color="auto" w:sz="4" w:space="0"/>
              <w:bottom w:val="single" w:color="auto" w:sz="4" w:space="0"/>
              <w:right w:val="single" w:color="auto" w:sz="4" w:space="0"/>
            </w:tcBorders>
            <w:vAlign w:val="center"/>
          </w:tcPr>
          <w:p w14:paraId="7413510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p>
        </w:tc>
        <w:tc>
          <w:tcPr>
            <w:tcW w:w="430" w:type="pct"/>
            <w:tcBorders>
              <w:top w:val="single" w:color="auto" w:sz="4" w:space="0"/>
              <w:left w:val="single" w:color="auto" w:sz="4" w:space="0"/>
              <w:bottom w:val="single" w:color="auto" w:sz="4" w:space="0"/>
              <w:right w:val="single" w:color="auto" w:sz="4" w:space="0"/>
            </w:tcBorders>
            <w:vAlign w:val="center"/>
          </w:tcPr>
          <w:p w14:paraId="12A784E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p>
        </w:tc>
      </w:tr>
      <w:tr w14:paraId="5781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481" w:type="pct"/>
            <w:vMerge w:val="continue"/>
            <w:tcBorders>
              <w:left w:val="single" w:color="auto" w:sz="4" w:space="0"/>
              <w:right w:val="single" w:color="auto" w:sz="4" w:space="0"/>
            </w:tcBorders>
            <w:vAlign w:val="center"/>
          </w:tcPr>
          <w:p w14:paraId="2AA6E24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268A5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销售业绩情况</w:t>
            </w:r>
          </w:p>
        </w:tc>
        <w:tc>
          <w:tcPr>
            <w:tcW w:w="2768" w:type="pct"/>
            <w:tcBorders>
              <w:top w:val="single" w:color="auto" w:sz="4" w:space="0"/>
              <w:left w:val="single" w:color="auto" w:sz="4" w:space="0"/>
              <w:bottom w:val="single" w:color="auto" w:sz="4" w:space="0"/>
              <w:right w:val="single" w:color="auto" w:sz="4" w:space="0"/>
            </w:tcBorders>
            <w:vAlign w:val="center"/>
          </w:tcPr>
          <w:p w14:paraId="3A099EB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根据供应商提供2024年1月以来（</w:t>
            </w:r>
            <w:r>
              <w:rPr>
                <w:rFonts w:hint="eastAsia" w:ascii="方正仿宋_GBK" w:hAnsi="方正仿宋_GBK" w:eastAsia="方正仿宋_GBK" w:cs="方正仿宋_GBK"/>
                <w:sz w:val="24"/>
                <w:szCs w:val="24"/>
                <w:lang w:val="en-US" w:eastAsia="zh-CN"/>
              </w:rPr>
              <w:t>以签订合同的时间为准</w:t>
            </w:r>
            <w:r>
              <w:rPr>
                <w:rFonts w:hint="eastAsia" w:ascii="方正仿宋_GBK" w:hAnsi="方正仿宋_GBK" w:eastAsia="方正仿宋_GBK" w:cs="方正仿宋_GBK"/>
                <w:color w:val="000000"/>
                <w:sz w:val="24"/>
                <w:szCs w:val="24"/>
                <w:lang w:val="en-US" w:eastAsia="zh-CN"/>
              </w:rPr>
              <w:t>）销售合同进行评审：销售合同需涉及本项目采购内容“序号1”货物，每份得0.5分，最高10分。</w:t>
            </w:r>
          </w:p>
          <w:p w14:paraId="3E92425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备注：提供项目合同复印件，并加盖供应商公章，否则不得分。</w:t>
            </w:r>
          </w:p>
        </w:tc>
        <w:tc>
          <w:tcPr>
            <w:tcW w:w="405" w:type="pct"/>
            <w:tcBorders>
              <w:top w:val="single" w:color="auto" w:sz="4" w:space="0"/>
              <w:left w:val="single" w:color="auto" w:sz="4" w:space="0"/>
              <w:bottom w:val="single" w:color="auto" w:sz="4" w:space="0"/>
              <w:right w:val="single" w:color="auto" w:sz="4" w:space="0"/>
            </w:tcBorders>
            <w:vAlign w:val="center"/>
          </w:tcPr>
          <w:p w14:paraId="5202CA1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0分</w:t>
            </w:r>
          </w:p>
        </w:tc>
        <w:tc>
          <w:tcPr>
            <w:tcW w:w="519" w:type="pct"/>
            <w:tcBorders>
              <w:top w:val="single" w:color="auto" w:sz="4" w:space="0"/>
              <w:left w:val="single" w:color="auto" w:sz="4" w:space="0"/>
              <w:bottom w:val="single" w:color="auto" w:sz="4" w:space="0"/>
              <w:right w:val="single" w:color="auto" w:sz="4" w:space="0"/>
            </w:tcBorders>
            <w:vAlign w:val="center"/>
          </w:tcPr>
          <w:p w14:paraId="49D4864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p>
        </w:tc>
        <w:tc>
          <w:tcPr>
            <w:tcW w:w="430" w:type="pct"/>
            <w:tcBorders>
              <w:top w:val="single" w:color="auto" w:sz="4" w:space="0"/>
              <w:left w:val="single" w:color="auto" w:sz="4" w:space="0"/>
              <w:bottom w:val="single" w:color="auto" w:sz="4" w:space="0"/>
              <w:right w:val="single" w:color="auto" w:sz="4" w:space="0"/>
            </w:tcBorders>
            <w:vAlign w:val="center"/>
          </w:tcPr>
          <w:p w14:paraId="747BE70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p>
        </w:tc>
      </w:tr>
      <w:tr w14:paraId="02C2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81" w:type="pct"/>
            <w:vMerge w:val="continue"/>
            <w:tcBorders>
              <w:left w:val="single" w:color="auto" w:sz="4" w:space="0"/>
              <w:right w:val="single" w:color="auto" w:sz="4" w:space="0"/>
            </w:tcBorders>
            <w:vAlign w:val="center"/>
          </w:tcPr>
          <w:p w14:paraId="34E5BBC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rPr>
            </w:pPr>
          </w:p>
        </w:tc>
        <w:tc>
          <w:tcPr>
            <w:tcW w:w="779" w:type="dxa"/>
            <w:tcBorders>
              <w:top w:val="single" w:color="auto" w:sz="4" w:space="0"/>
              <w:left w:val="single" w:color="auto" w:sz="4" w:space="0"/>
              <w:bottom w:val="single" w:color="auto" w:sz="4" w:space="0"/>
              <w:right w:val="single" w:color="auto" w:sz="4" w:space="0"/>
            </w:tcBorders>
            <w:vAlign w:val="center"/>
          </w:tcPr>
          <w:p w14:paraId="23FBC48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质量保证措施方案</w:t>
            </w:r>
          </w:p>
        </w:tc>
        <w:tc>
          <w:tcPr>
            <w:tcW w:w="5462" w:type="dxa"/>
            <w:tcBorders>
              <w:top w:val="single" w:color="auto" w:sz="4" w:space="0"/>
              <w:left w:val="single" w:color="auto" w:sz="4" w:space="0"/>
              <w:bottom w:val="single" w:color="auto" w:sz="4" w:space="0"/>
              <w:right w:val="single" w:color="auto" w:sz="4" w:space="0"/>
            </w:tcBorders>
            <w:vAlign w:val="center"/>
          </w:tcPr>
          <w:p w14:paraId="5EDA186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建立完整的质量保证体系，并提出具体的质量保证措施。措施中需提供产品质控方案、详细的质保期内及质保期外服务方案针对产品服务、质量投诉提供详细的响应机制及符合本项目的其他保障措施等。</w:t>
            </w:r>
          </w:p>
          <w:p w14:paraId="623F0D4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1.质量保证措施完善，内容详尽、思路清晰明了，有条理；对于项目需求工作范围内所要求的内容有针对性，计划合理有序，能够完整描述；实施保证措施科学合理，切实可行；完全满足采购需求的得10分。</w:t>
            </w:r>
          </w:p>
          <w:p w14:paraId="4386118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2.质量保证措施内容完整，思路清晰，对于项目需求中工作范围内所要求的内容有一定的针对性，能做到合理可行，较能满足采购方要求的得7分。</w:t>
            </w:r>
          </w:p>
          <w:p w14:paraId="230C55A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3.质量保证措施内容合理，对项目需求中工作范围内所要求的内容没有针对性，描述简单，基本满足采购方要求的，得5分。</w:t>
            </w:r>
          </w:p>
          <w:p w14:paraId="27C1475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4.质量保证措施内容简略，无具体措施，得3分。</w:t>
            </w:r>
          </w:p>
          <w:p w14:paraId="33BFD95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5.未提供质量保证措施方案的得0分。</w:t>
            </w:r>
          </w:p>
        </w:tc>
        <w:tc>
          <w:tcPr>
            <w:tcW w:w="801" w:type="dxa"/>
            <w:tcBorders>
              <w:top w:val="single" w:color="auto" w:sz="4" w:space="0"/>
              <w:left w:val="single" w:color="auto" w:sz="4" w:space="0"/>
              <w:bottom w:val="single" w:color="auto" w:sz="4" w:space="0"/>
              <w:right w:val="single" w:color="auto" w:sz="4" w:space="0"/>
            </w:tcBorders>
            <w:vAlign w:val="center"/>
          </w:tcPr>
          <w:p w14:paraId="192267A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10分</w:t>
            </w:r>
          </w:p>
        </w:tc>
        <w:tc>
          <w:tcPr>
            <w:tcW w:w="519" w:type="pct"/>
            <w:tcBorders>
              <w:top w:val="single" w:color="auto" w:sz="4" w:space="0"/>
              <w:left w:val="single" w:color="auto" w:sz="4" w:space="0"/>
              <w:bottom w:val="single" w:color="auto" w:sz="4" w:space="0"/>
              <w:right w:val="single" w:color="auto" w:sz="4" w:space="0"/>
            </w:tcBorders>
            <w:vAlign w:val="center"/>
          </w:tcPr>
          <w:p w14:paraId="2441375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p>
        </w:tc>
        <w:tc>
          <w:tcPr>
            <w:tcW w:w="430" w:type="pct"/>
            <w:tcBorders>
              <w:top w:val="single" w:color="auto" w:sz="4" w:space="0"/>
              <w:left w:val="single" w:color="auto" w:sz="4" w:space="0"/>
              <w:bottom w:val="single" w:color="auto" w:sz="4" w:space="0"/>
              <w:right w:val="single" w:color="auto" w:sz="4" w:space="0"/>
            </w:tcBorders>
            <w:vAlign w:val="center"/>
          </w:tcPr>
          <w:p w14:paraId="48C3B9B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p>
        </w:tc>
      </w:tr>
      <w:tr w14:paraId="0244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81" w:type="pct"/>
            <w:vMerge w:val="continue"/>
            <w:tcBorders>
              <w:left w:val="single" w:color="auto" w:sz="4" w:space="0"/>
              <w:right w:val="single" w:color="auto" w:sz="4" w:space="0"/>
            </w:tcBorders>
            <w:vAlign w:val="center"/>
          </w:tcPr>
          <w:p w14:paraId="6FAA8F2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2284E6D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jc w:val="center"/>
              <w:textAlignment w:val="baseline"/>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售后服务方案</w:t>
            </w:r>
          </w:p>
        </w:tc>
        <w:tc>
          <w:tcPr>
            <w:tcW w:w="2768" w:type="pct"/>
            <w:tcBorders>
              <w:top w:val="single" w:color="auto" w:sz="4" w:space="0"/>
              <w:left w:val="single" w:color="auto" w:sz="4" w:space="0"/>
              <w:bottom w:val="single" w:color="auto" w:sz="4" w:space="0"/>
              <w:right w:val="single" w:color="auto" w:sz="4" w:space="0"/>
            </w:tcBorders>
            <w:vAlign w:val="center"/>
          </w:tcPr>
          <w:p w14:paraId="7E624F3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结合项目的实际特点来制定本项目的售后服务方案，根据各供应商提供的售后服务方案进行综合评审：</w:t>
            </w:r>
          </w:p>
          <w:p w14:paraId="5590BDB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售后服务承诺全面具体，售后服务方案内容详细，包括有专门售后团队、免费保修年限、免费系统升级年限、故障响应时间及故障处理方案，现场服务条件及到位时间等内容，有具体的服务体系流程、项目验收后能够继续跟踪了解设备使用情况能够充分满足采购人的实际需求的得10分。</w:t>
            </w:r>
          </w:p>
          <w:p w14:paraId="48686F9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售后服务方案内容完整，有设备故障问题解决措施且基本合理、故障处理响应较及时、现场服务到位较及时、能够提供技术支持人员、有完整的服务体系流程、项目验收后能够继续跟踪了解设备使用情况、免费服务年限满足能够满足本项目服务需求的得7分。</w:t>
            </w:r>
          </w:p>
          <w:p w14:paraId="3CC825F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3.服务方案内容基本完整，有设备故障问题解决措施但不够具体、故障处理响应较及时、现场服务到位较及时、仅能提供技术支持人员、免费服务年限满足本项目服务需求的得5分。</w:t>
            </w:r>
          </w:p>
          <w:p w14:paraId="34019F0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4.项目服务方案内容不够全面、仅涉及到项目服务需求的部分内容，无具体的操作措施，项目服务响应时间不够及时的得3分。</w:t>
            </w:r>
          </w:p>
          <w:p w14:paraId="4AB87EE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5.售后服务方案或方案不可行、不完整或未提供的得0分。</w:t>
            </w:r>
          </w:p>
        </w:tc>
        <w:tc>
          <w:tcPr>
            <w:tcW w:w="405" w:type="pct"/>
            <w:tcBorders>
              <w:top w:val="single" w:color="auto" w:sz="4" w:space="0"/>
              <w:left w:val="single" w:color="auto" w:sz="4" w:space="0"/>
              <w:bottom w:val="single" w:color="auto" w:sz="4" w:space="0"/>
              <w:right w:val="single" w:color="auto" w:sz="4" w:space="0"/>
            </w:tcBorders>
            <w:vAlign w:val="center"/>
          </w:tcPr>
          <w:p w14:paraId="7F3CC9C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10分</w:t>
            </w:r>
          </w:p>
        </w:tc>
        <w:tc>
          <w:tcPr>
            <w:tcW w:w="519" w:type="pct"/>
            <w:tcBorders>
              <w:top w:val="single" w:color="auto" w:sz="4" w:space="0"/>
              <w:left w:val="single" w:color="auto" w:sz="4" w:space="0"/>
              <w:bottom w:val="single" w:color="auto" w:sz="4" w:space="0"/>
              <w:right w:val="single" w:color="auto" w:sz="4" w:space="0"/>
            </w:tcBorders>
            <w:vAlign w:val="center"/>
          </w:tcPr>
          <w:p w14:paraId="55800DB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p>
        </w:tc>
        <w:tc>
          <w:tcPr>
            <w:tcW w:w="430" w:type="pct"/>
            <w:tcBorders>
              <w:top w:val="single" w:color="auto" w:sz="4" w:space="0"/>
              <w:left w:val="single" w:color="auto" w:sz="4" w:space="0"/>
              <w:bottom w:val="single" w:color="auto" w:sz="4" w:space="0"/>
              <w:right w:val="single" w:color="auto" w:sz="4" w:space="0"/>
            </w:tcBorders>
            <w:vAlign w:val="center"/>
          </w:tcPr>
          <w:p w14:paraId="6F7C597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p>
        </w:tc>
      </w:tr>
      <w:tr w14:paraId="29DB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481" w:type="pct"/>
            <w:tcBorders>
              <w:left w:val="single" w:color="auto" w:sz="4" w:space="0"/>
              <w:right w:val="single" w:color="auto" w:sz="4" w:space="0"/>
            </w:tcBorders>
            <w:vAlign w:val="center"/>
          </w:tcPr>
          <w:p w14:paraId="6B6869E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价格评分</w:t>
            </w:r>
          </w:p>
          <w:p w14:paraId="3AE0F48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（30分）</w:t>
            </w:r>
          </w:p>
        </w:tc>
        <w:tc>
          <w:tcPr>
            <w:tcW w:w="3569" w:type="pct"/>
            <w:gridSpan w:val="3"/>
            <w:tcBorders>
              <w:top w:val="single" w:color="auto" w:sz="4" w:space="0"/>
              <w:left w:val="single" w:color="auto" w:sz="4" w:space="0"/>
              <w:bottom w:val="single" w:color="auto" w:sz="4" w:space="0"/>
              <w:right w:val="single" w:color="auto" w:sz="4" w:space="0"/>
            </w:tcBorders>
            <w:vAlign w:val="center"/>
          </w:tcPr>
          <w:p w14:paraId="31FA063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响应报价得分＝（评审基准价/响应报价）×价格分值</w:t>
            </w:r>
          </w:p>
          <w:p w14:paraId="40D83EE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【注：满足公示文件要求且响应报价最低的报价为评审基准价。】最低报价不是成交的唯一依据。</w:t>
            </w:r>
          </w:p>
          <w:p w14:paraId="6A47DD8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说明：计算过程及结果数字四舍五入保留两位小数。</w:t>
            </w:r>
          </w:p>
        </w:tc>
        <w:tc>
          <w:tcPr>
            <w:tcW w:w="519" w:type="pct"/>
            <w:tcBorders>
              <w:top w:val="single" w:color="auto" w:sz="4" w:space="0"/>
              <w:left w:val="single" w:color="auto" w:sz="4" w:space="0"/>
              <w:bottom w:val="single" w:color="auto" w:sz="4" w:space="0"/>
              <w:right w:val="single" w:color="auto" w:sz="4" w:space="0"/>
            </w:tcBorders>
            <w:vAlign w:val="center"/>
          </w:tcPr>
          <w:p w14:paraId="4CF5A83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430" w:type="pct"/>
            <w:tcBorders>
              <w:top w:val="single" w:color="auto" w:sz="4" w:space="0"/>
              <w:left w:val="single" w:color="auto" w:sz="4" w:space="0"/>
              <w:bottom w:val="single" w:color="auto" w:sz="4" w:space="0"/>
              <w:right w:val="single" w:color="auto" w:sz="4" w:space="0"/>
            </w:tcBorders>
            <w:vAlign w:val="center"/>
          </w:tcPr>
          <w:p w14:paraId="2827E64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r>
    </w:tbl>
    <w:p w14:paraId="7BE85EA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32"/>
          <w:szCs w:val="32"/>
          <w:lang w:val="en-US" w:eastAsia="zh-CN"/>
        </w:rPr>
      </w:pPr>
    </w:p>
    <w:p w14:paraId="5A76654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注：请投标人在投标文件中标注以上评分项目证明资料对应的页码。</w:t>
      </w:r>
    </w:p>
    <w:p w14:paraId="6965AB4F">
      <w:pPr>
        <w:pStyle w:val="5"/>
        <w:ind w:left="597" w:leftChars="199" w:right="564" w:rightChars="188" w:firstLine="0" w:firstLineChars="0"/>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808B9"/>
    <w:rsid w:val="01227D26"/>
    <w:rsid w:val="01415CD2"/>
    <w:rsid w:val="01AC3A93"/>
    <w:rsid w:val="01AC5842"/>
    <w:rsid w:val="01F30330"/>
    <w:rsid w:val="02AD51D0"/>
    <w:rsid w:val="02F05C02"/>
    <w:rsid w:val="04620439"/>
    <w:rsid w:val="04B53D1B"/>
    <w:rsid w:val="05467A28"/>
    <w:rsid w:val="06EC028C"/>
    <w:rsid w:val="08CE609D"/>
    <w:rsid w:val="09320F20"/>
    <w:rsid w:val="0A83110A"/>
    <w:rsid w:val="0B1D5634"/>
    <w:rsid w:val="0D103128"/>
    <w:rsid w:val="0D38267F"/>
    <w:rsid w:val="0D7C73F5"/>
    <w:rsid w:val="0DBD4932"/>
    <w:rsid w:val="0F390DFE"/>
    <w:rsid w:val="0F9F2542"/>
    <w:rsid w:val="101A6499"/>
    <w:rsid w:val="101B0505"/>
    <w:rsid w:val="1097590F"/>
    <w:rsid w:val="111331E7"/>
    <w:rsid w:val="12435D4E"/>
    <w:rsid w:val="12C42830"/>
    <w:rsid w:val="13CE6954"/>
    <w:rsid w:val="14067033"/>
    <w:rsid w:val="16906F38"/>
    <w:rsid w:val="16DB79EC"/>
    <w:rsid w:val="174B0F64"/>
    <w:rsid w:val="17D31922"/>
    <w:rsid w:val="17E551B2"/>
    <w:rsid w:val="18225B0E"/>
    <w:rsid w:val="194A596B"/>
    <w:rsid w:val="1A91517D"/>
    <w:rsid w:val="1BDB0DA5"/>
    <w:rsid w:val="1CDA105D"/>
    <w:rsid w:val="1D557934"/>
    <w:rsid w:val="1DD12460"/>
    <w:rsid w:val="1EF108E0"/>
    <w:rsid w:val="1F637EA5"/>
    <w:rsid w:val="1FD55B0C"/>
    <w:rsid w:val="20BE0DD8"/>
    <w:rsid w:val="22623FCE"/>
    <w:rsid w:val="22AE0FC2"/>
    <w:rsid w:val="24207C9D"/>
    <w:rsid w:val="24F627AC"/>
    <w:rsid w:val="25274198"/>
    <w:rsid w:val="253F05F7"/>
    <w:rsid w:val="260B04D9"/>
    <w:rsid w:val="280711DB"/>
    <w:rsid w:val="28F34C98"/>
    <w:rsid w:val="292D6295"/>
    <w:rsid w:val="299B1B74"/>
    <w:rsid w:val="2AF155CB"/>
    <w:rsid w:val="2E5F13C2"/>
    <w:rsid w:val="2E812BAE"/>
    <w:rsid w:val="2E9021DA"/>
    <w:rsid w:val="30782C0F"/>
    <w:rsid w:val="30982D0A"/>
    <w:rsid w:val="31CD416C"/>
    <w:rsid w:val="32814119"/>
    <w:rsid w:val="35825067"/>
    <w:rsid w:val="370A0339"/>
    <w:rsid w:val="373D25EB"/>
    <w:rsid w:val="386D6DD1"/>
    <w:rsid w:val="387C6968"/>
    <w:rsid w:val="38A210C6"/>
    <w:rsid w:val="38E057F5"/>
    <w:rsid w:val="3A080B60"/>
    <w:rsid w:val="3A903C3D"/>
    <w:rsid w:val="3AD14FE6"/>
    <w:rsid w:val="3C6B3628"/>
    <w:rsid w:val="3D114871"/>
    <w:rsid w:val="3E7A3FF6"/>
    <w:rsid w:val="3ECD0DE5"/>
    <w:rsid w:val="401B00E9"/>
    <w:rsid w:val="419E5906"/>
    <w:rsid w:val="42B36E0A"/>
    <w:rsid w:val="43140575"/>
    <w:rsid w:val="432D7889"/>
    <w:rsid w:val="44B83F02"/>
    <w:rsid w:val="450B59A8"/>
    <w:rsid w:val="4743767B"/>
    <w:rsid w:val="47785E04"/>
    <w:rsid w:val="48F808B9"/>
    <w:rsid w:val="4AC16767"/>
    <w:rsid w:val="4ACD36E9"/>
    <w:rsid w:val="4AEA6060"/>
    <w:rsid w:val="4CEC7770"/>
    <w:rsid w:val="4D131782"/>
    <w:rsid w:val="500E6A7B"/>
    <w:rsid w:val="502562D0"/>
    <w:rsid w:val="504E4213"/>
    <w:rsid w:val="52831274"/>
    <w:rsid w:val="529A7B71"/>
    <w:rsid w:val="529B2FB9"/>
    <w:rsid w:val="55195EBF"/>
    <w:rsid w:val="552542D2"/>
    <w:rsid w:val="56446B46"/>
    <w:rsid w:val="56AF0889"/>
    <w:rsid w:val="56B73E6B"/>
    <w:rsid w:val="585C67EF"/>
    <w:rsid w:val="599A349F"/>
    <w:rsid w:val="5B21162A"/>
    <w:rsid w:val="5B647768"/>
    <w:rsid w:val="5B670B63"/>
    <w:rsid w:val="5E2E3A79"/>
    <w:rsid w:val="5E3E0745"/>
    <w:rsid w:val="5E9E7CB2"/>
    <w:rsid w:val="62210161"/>
    <w:rsid w:val="62930C6F"/>
    <w:rsid w:val="63F63329"/>
    <w:rsid w:val="64D71439"/>
    <w:rsid w:val="674C3ED2"/>
    <w:rsid w:val="680C5410"/>
    <w:rsid w:val="69DC1220"/>
    <w:rsid w:val="6A31115D"/>
    <w:rsid w:val="6AAE1E65"/>
    <w:rsid w:val="6B3621F9"/>
    <w:rsid w:val="6DBE28E9"/>
    <w:rsid w:val="6E3C2BCA"/>
    <w:rsid w:val="7063448F"/>
    <w:rsid w:val="70F72433"/>
    <w:rsid w:val="717C3606"/>
    <w:rsid w:val="71976D97"/>
    <w:rsid w:val="7230479C"/>
    <w:rsid w:val="73013389"/>
    <w:rsid w:val="750000AA"/>
    <w:rsid w:val="75083B66"/>
    <w:rsid w:val="7522005E"/>
    <w:rsid w:val="75706FDE"/>
    <w:rsid w:val="76487F5B"/>
    <w:rsid w:val="79AE5130"/>
    <w:rsid w:val="79BA2F1D"/>
    <w:rsid w:val="79C318FE"/>
    <w:rsid w:val="79FE72AE"/>
    <w:rsid w:val="7AC96B81"/>
    <w:rsid w:val="7D6C664B"/>
    <w:rsid w:val="7DD6409E"/>
    <w:rsid w:val="7DF627CA"/>
    <w:rsid w:val="7E24305B"/>
    <w:rsid w:val="7EEB7EE5"/>
    <w:rsid w:val="7F484B27"/>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4"/>
    <w:basedOn w:val="1"/>
    <w:next w:val="1"/>
    <w:qFormat/>
    <w:uiPriority w:val="0"/>
    <w:pPr>
      <w:keepNext/>
      <w:keepLines/>
      <w:tabs>
        <w:tab w:val="left" w:pos="900"/>
        <w:tab w:val="left" w:pos="993"/>
      </w:tabs>
      <w:spacing w:before="200" w:after="200" w:line="360" w:lineRule="auto"/>
      <w:outlineLvl w:val="3"/>
    </w:pPr>
    <w:rPr>
      <w:rFonts w:ascii="黑体" w:hAnsi="黑体" w:eastAsia="黑体" w:cs="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annotation text"/>
    <w:basedOn w:val="1"/>
    <w:qFormat/>
    <w:uiPriority w:val="0"/>
    <w:pPr>
      <w:jc w:val="left"/>
    </w:pPr>
    <w:rPr>
      <w:rFonts w:ascii="Arial" w:hAnsi="Arial" w:eastAsia="黑体" w:cs="Arial"/>
    </w:rPr>
  </w:style>
  <w:style w:type="paragraph" w:styleId="5">
    <w:name w:val="Body Text"/>
    <w:basedOn w:val="1"/>
    <w:next w:val="1"/>
    <w:qFormat/>
    <w:uiPriority w:val="0"/>
    <w:pPr>
      <w:spacing w:line="360" w:lineRule="auto"/>
    </w:pPr>
    <w:rPr>
      <w:rFonts w:ascii="仿宋_GB2312"/>
      <w:sz w:val="28"/>
    </w:rPr>
  </w:style>
  <w:style w:type="paragraph" w:styleId="6">
    <w:name w:val="Plain Text"/>
    <w:basedOn w:val="1"/>
    <w:qFormat/>
    <w:uiPriority w:val="0"/>
    <w:rPr>
      <w:rFonts w:ascii="宋体" w:hAnsi="Courier New"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1289</Words>
  <Characters>1322</Characters>
  <Lines>0</Lines>
  <Paragraphs>0</Paragraphs>
  <TotalTime>7</TotalTime>
  <ScaleCrop>false</ScaleCrop>
  <LinksUpToDate>false</LinksUpToDate>
  <CharactersWithSpaces>1357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2025-03-26T03:09:00Z</dcterms:created>
  <dc:creator>jimmy</dc:creator>
  <cp:lastModifiedBy>jimmy</cp:lastModifiedBy>
  <dcterms:modified xsi:type="dcterms:W3CDTF">2025-10-28T11:12:26Z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0FD98F99C900407E88AF36C9C845F1B5_13</vt:lpwstr>
  </property>
  <property fmtid="{D5CDD505-2E9C-101B-9397-08002B2CF9AE}" pid="4" name="KSOTemplateDocerSaveRecord">
    <vt:lpwstr>eyJoZGlkIjoiODYzMmQwYmU0MjQ2Y2U1OWE1MjAxYzJhN2FlMGQ4MjYiLCJ1c2VySWQiOiIyNjI4NTIzNjUifQ==</vt:lpwstr>
  </property>
</Properties>
</file>