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01828">
      <w:pPr>
        <w:spacing w:line="340" w:lineRule="atLeast"/>
        <w:jc w:val="center"/>
      </w:pPr>
      <w:r>
        <w:rPr>
          <w:rFonts w:hint="eastAsia" w:ascii="方正小标宋简体" w:hAnsi="方正小标宋简体" w:eastAsia="方正小标宋简体" w:cs="方正小标宋简体"/>
          <w:sz w:val="36"/>
          <w:szCs w:val="36"/>
        </w:rPr>
        <w:t>工程类评分标准</w:t>
      </w:r>
    </w:p>
    <w:p w14:paraId="7E42E5E6">
      <w:pPr>
        <w:widowControl w:val="0"/>
        <w:spacing w:line="400" w:lineRule="exact"/>
        <w:ind w:firstLine="420" w:firstLineChars="200"/>
        <w:rPr>
          <w:rFonts w:ascii="宋体" w:hAnsi="宋体" w:cs="宋体"/>
          <w:szCs w:val="21"/>
        </w:rPr>
      </w:pPr>
    </w:p>
    <w:p w14:paraId="01E2E765">
      <w:pPr>
        <w:widowControl w:val="0"/>
        <w:spacing w:line="400" w:lineRule="exact"/>
        <w:ind w:left="-420" w:leftChars="-200" w:right="-313" w:rightChars="-149" w:firstLine="420" w:firstLineChars="200"/>
        <w:rPr>
          <w:rFonts w:ascii="宋体" w:hAnsi="宋体" w:cs="宋体"/>
          <w:szCs w:val="21"/>
        </w:rPr>
      </w:pPr>
      <w:r>
        <w:rPr>
          <w:rFonts w:hint="eastAsia" w:ascii="宋体" w:hAnsi="宋体" w:cs="宋体"/>
          <w:szCs w:val="21"/>
        </w:rPr>
        <w:t>一、评分选取方式</w:t>
      </w:r>
    </w:p>
    <w:p w14:paraId="5F508154">
      <w:pPr>
        <w:spacing w:line="360" w:lineRule="auto"/>
        <w:ind w:firstLine="420" w:firstLineChars="200"/>
        <w:rPr>
          <w:rFonts w:ascii="宋体" w:hAnsi="宋体" w:cs="宋体"/>
        </w:rPr>
      </w:pPr>
      <w:r>
        <w:rPr>
          <w:rFonts w:hint="eastAsia" w:ascii="宋体" w:hAnsi="宋体" w:cs="宋体"/>
          <w:szCs w:val="21"/>
        </w:rPr>
        <w:t>本次采购采用【自行采购的综合选取】的方式确定中选单位。</w:t>
      </w:r>
      <w:r>
        <w:rPr>
          <w:rFonts w:hint="eastAsia" w:ascii="宋体" w:hAnsi="宋体" w:cs="宋体"/>
        </w:rPr>
        <w:t>评分小组先对报名的中介机构进行初步评审；然后对满足初步评审要求的中介机构，按照详细评审规定的评分标准进行打分。</w:t>
      </w:r>
    </w:p>
    <w:p w14:paraId="3DBEA8A3">
      <w:pPr>
        <w:spacing w:line="360" w:lineRule="auto"/>
        <w:ind w:firstLine="420" w:firstLineChars="200"/>
        <w:rPr>
          <w:rFonts w:ascii="宋体" w:hAnsi="宋体" w:cs="宋体"/>
        </w:rPr>
      </w:pPr>
      <w:r>
        <w:rPr>
          <w:rFonts w:hint="eastAsia" w:ascii="宋体" w:hAnsi="宋体" w:cs="宋体"/>
        </w:rPr>
        <w:t>评分小组成员对中介机构的详细评审各评审因素进行评分，计算出各评审因素的算术平均值后合计总和作为该中介机构的得分，并按得分由高到低顺序推荐中选机构。</w:t>
      </w:r>
    </w:p>
    <w:p w14:paraId="3A6DCEAF">
      <w:pPr>
        <w:spacing w:line="360" w:lineRule="auto"/>
        <w:ind w:firstLine="420" w:firstLineChars="200"/>
        <w:rPr>
          <w:rFonts w:ascii="宋体" w:hAnsi="宋体" w:cs="宋体"/>
          <w:szCs w:val="21"/>
        </w:rPr>
      </w:pPr>
      <w:r>
        <w:rPr>
          <w:rFonts w:hint="eastAsia" w:ascii="仿宋_GB2312" w:hAnsi="华文仿宋"/>
          <w:szCs w:val="32"/>
        </w:rPr>
        <w:t>如有两家或以上中介机构的综合得分相同且得分均为最高，</w:t>
      </w:r>
      <w:r>
        <w:rPr>
          <w:rFonts w:hint="eastAsia" w:ascii="宋体" w:hAnsi="宋体" w:cs="宋体"/>
        </w:rPr>
        <w:t>评分小组视中介机构的情况综合比较，投票确定其名次。</w:t>
      </w:r>
    </w:p>
    <w:p w14:paraId="4B7388C0">
      <w:pPr>
        <w:pStyle w:val="2"/>
      </w:pPr>
    </w:p>
    <w:p w14:paraId="5A508741">
      <w:pPr>
        <w:widowControl w:val="0"/>
        <w:spacing w:line="400" w:lineRule="exact"/>
        <w:ind w:left="-420" w:leftChars="-200" w:right="-313" w:rightChars="-149" w:firstLine="420" w:firstLineChars="200"/>
        <w:rPr>
          <w:rFonts w:ascii="宋体" w:hAnsi="宋体" w:cs="宋体"/>
          <w:szCs w:val="21"/>
        </w:rPr>
      </w:pPr>
      <w:r>
        <w:rPr>
          <w:rFonts w:hint="eastAsia" w:ascii="宋体" w:hAnsi="宋体" w:cs="宋体"/>
          <w:szCs w:val="21"/>
        </w:rPr>
        <w:t>二、初步评审</w:t>
      </w:r>
    </w:p>
    <w:tbl>
      <w:tblPr>
        <w:tblStyle w:val="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7227"/>
      </w:tblGrid>
      <w:tr w14:paraId="14CA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324" w:type="dxa"/>
            <w:vAlign w:val="center"/>
          </w:tcPr>
          <w:p w14:paraId="35762776">
            <w:pPr>
              <w:widowControl w:val="0"/>
              <w:spacing w:line="400" w:lineRule="exact"/>
              <w:jc w:val="center"/>
              <w:rPr>
                <w:rFonts w:ascii="宋体" w:hAnsi="宋体" w:cs="宋体"/>
                <w:b/>
                <w:szCs w:val="21"/>
              </w:rPr>
            </w:pPr>
            <w:r>
              <w:rPr>
                <w:rFonts w:hint="eastAsia" w:ascii="宋体" w:hAnsi="宋体" w:cs="宋体"/>
                <w:b/>
                <w:szCs w:val="21"/>
              </w:rPr>
              <w:t>评审因素</w:t>
            </w:r>
          </w:p>
        </w:tc>
        <w:tc>
          <w:tcPr>
            <w:tcW w:w="7227" w:type="dxa"/>
            <w:vAlign w:val="center"/>
          </w:tcPr>
          <w:p w14:paraId="27552B81">
            <w:pPr>
              <w:widowControl w:val="0"/>
              <w:spacing w:line="400" w:lineRule="exact"/>
              <w:jc w:val="center"/>
              <w:rPr>
                <w:rFonts w:ascii="宋体" w:hAnsi="宋体" w:cs="宋体"/>
                <w:szCs w:val="21"/>
              </w:rPr>
            </w:pPr>
            <w:r>
              <w:rPr>
                <w:rFonts w:hint="eastAsia" w:ascii="宋体" w:hAnsi="宋体" w:cs="宋体"/>
                <w:b/>
                <w:szCs w:val="21"/>
              </w:rPr>
              <w:t>评分标准</w:t>
            </w:r>
          </w:p>
        </w:tc>
      </w:tr>
      <w:tr w14:paraId="6793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2324" w:type="dxa"/>
            <w:vAlign w:val="center"/>
          </w:tcPr>
          <w:p w14:paraId="1AB66B99">
            <w:pPr>
              <w:widowControl w:val="0"/>
              <w:spacing w:line="400" w:lineRule="exact"/>
              <w:jc w:val="center"/>
              <w:rPr>
                <w:rFonts w:ascii="宋体" w:hAnsi="宋体" w:cs="宋体"/>
                <w:szCs w:val="21"/>
              </w:rPr>
            </w:pPr>
            <w:r>
              <w:rPr>
                <w:rFonts w:hint="eastAsia" w:ascii="宋体" w:hAnsi="宋体" w:cs="宋体"/>
                <w:szCs w:val="21"/>
              </w:rPr>
              <w:t>资质</w:t>
            </w:r>
          </w:p>
        </w:tc>
        <w:tc>
          <w:tcPr>
            <w:tcW w:w="7227" w:type="dxa"/>
            <w:vAlign w:val="center"/>
          </w:tcPr>
          <w:p w14:paraId="4E0B91AD">
            <w:pPr>
              <w:widowControl w:val="0"/>
              <w:spacing w:line="360" w:lineRule="auto"/>
              <w:textAlignment w:val="auto"/>
              <w:rPr>
                <w:rFonts w:ascii="宋体" w:hAnsi="宋体" w:cs="宋体"/>
                <w:szCs w:val="21"/>
              </w:rPr>
            </w:pPr>
            <w:r>
              <w:rPr>
                <w:rFonts w:hint="eastAsia" w:ascii="宋体" w:hAnsi="宋体" w:cs="宋体"/>
                <w:szCs w:val="21"/>
              </w:rPr>
              <w:t>（1）在中华人民共和国境内依法注册的具有合法经营资格的独立法人；</w:t>
            </w:r>
          </w:p>
          <w:p w14:paraId="73F3B0FE">
            <w:pPr>
              <w:widowControl w:val="0"/>
              <w:spacing w:line="360" w:lineRule="auto"/>
              <w:textAlignment w:val="auto"/>
              <w:rPr>
                <w:rFonts w:ascii="宋体" w:hAnsi="宋体" w:cs="宋体"/>
                <w:szCs w:val="21"/>
              </w:rPr>
            </w:pPr>
            <w:r>
              <w:rPr>
                <w:rFonts w:hint="eastAsia" w:ascii="宋体" w:hAnsi="宋体" w:cs="宋体"/>
                <w:szCs w:val="21"/>
              </w:rPr>
              <w:t>（2）具有合法有效的安全生产许可证；</w:t>
            </w:r>
          </w:p>
          <w:p w14:paraId="5DB5D70C">
            <w:pPr>
              <w:widowControl w:val="0"/>
              <w:spacing w:line="360" w:lineRule="auto"/>
              <w:textAlignment w:val="auto"/>
              <w:rPr>
                <w:rFonts w:ascii="宋体" w:hAnsi="宋体" w:cs="宋体"/>
                <w:szCs w:val="21"/>
              </w:rPr>
            </w:pPr>
            <w:r>
              <w:rPr>
                <w:rFonts w:hint="eastAsia" w:ascii="宋体" w:hAnsi="宋体" w:cs="宋体"/>
                <w:szCs w:val="21"/>
              </w:rPr>
              <w:t>（3）具有相应行业资质，公路施工总承包</w:t>
            </w:r>
            <w:r>
              <w:rPr>
                <w:rFonts w:hint="eastAsia" w:ascii="宋体" w:hAnsi="宋体" w:cs="宋体"/>
                <w:szCs w:val="21"/>
                <w:lang w:eastAsia="zh-CN"/>
              </w:rPr>
              <w:t>二</w:t>
            </w:r>
            <w:r>
              <w:rPr>
                <w:rFonts w:hint="eastAsia" w:ascii="宋体" w:hAnsi="宋体" w:cs="宋体"/>
                <w:szCs w:val="21"/>
              </w:rPr>
              <w:t>级及以上或</w:t>
            </w:r>
            <w:r>
              <w:rPr>
                <w:rFonts w:hint="eastAsia" w:ascii="宋体" w:hAnsi="宋体" w:cs="宋体"/>
                <w:szCs w:val="21"/>
                <w:lang w:eastAsia="zh-CN"/>
              </w:rPr>
              <w:t>公路路面</w:t>
            </w:r>
            <w:r>
              <w:rPr>
                <w:rFonts w:hint="eastAsia" w:ascii="宋体" w:hAnsi="宋体" w:cs="宋体"/>
                <w:szCs w:val="21"/>
              </w:rPr>
              <w:t>工程专业</w:t>
            </w:r>
            <w:r>
              <w:rPr>
                <w:rFonts w:hint="eastAsia" w:ascii="宋体" w:hAnsi="宋体" w:cs="宋体"/>
                <w:szCs w:val="21"/>
                <w:lang w:eastAsia="zh-CN"/>
              </w:rPr>
              <w:t>二</w:t>
            </w:r>
            <w:r>
              <w:rPr>
                <w:rFonts w:hint="eastAsia" w:ascii="宋体" w:hAnsi="宋体" w:cs="宋体"/>
                <w:szCs w:val="21"/>
              </w:rPr>
              <w:t>级资质及以上；</w:t>
            </w:r>
          </w:p>
          <w:p w14:paraId="315BB05D">
            <w:pPr>
              <w:pStyle w:val="2"/>
              <w:spacing w:line="360" w:lineRule="auto"/>
              <w:rPr>
                <w:rFonts w:hAnsi="宋体" w:cs="宋体"/>
                <w:kern w:val="2"/>
                <w:sz w:val="21"/>
                <w:szCs w:val="21"/>
              </w:rPr>
            </w:pPr>
            <w:r>
              <w:rPr>
                <w:rFonts w:hint="eastAsia" w:hAnsi="宋体" w:cs="宋体"/>
                <w:kern w:val="2"/>
                <w:sz w:val="21"/>
                <w:szCs w:val="21"/>
              </w:rPr>
              <w:t>（4）不属于回避单位。</w:t>
            </w:r>
          </w:p>
        </w:tc>
      </w:tr>
      <w:tr w14:paraId="0218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24" w:type="dxa"/>
            <w:vAlign w:val="center"/>
          </w:tcPr>
          <w:p w14:paraId="5FD82DB0">
            <w:pPr>
              <w:widowControl w:val="0"/>
              <w:spacing w:line="400" w:lineRule="exact"/>
              <w:jc w:val="center"/>
              <w:textAlignment w:val="auto"/>
              <w:rPr>
                <w:rFonts w:ascii="宋体" w:hAnsi="宋体" w:cs="宋体"/>
                <w:szCs w:val="21"/>
              </w:rPr>
            </w:pPr>
            <w:r>
              <w:rPr>
                <w:rFonts w:hint="eastAsia" w:ascii="宋体" w:hAnsi="宋体" w:cs="宋体"/>
                <w:szCs w:val="21"/>
              </w:rPr>
              <w:t>业绩</w:t>
            </w:r>
          </w:p>
        </w:tc>
        <w:tc>
          <w:tcPr>
            <w:tcW w:w="7227" w:type="dxa"/>
            <w:vAlign w:val="center"/>
          </w:tcPr>
          <w:p w14:paraId="09CEE9F3">
            <w:pPr>
              <w:widowControl w:val="0"/>
              <w:spacing w:line="400" w:lineRule="exact"/>
              <w:jc w:val="left"/>
              <w:textAlignment w:val="auto"/>
              <w:rPr>
                <w:rFonts w:ascii="宋体" w:hAnsi="宋体" w:cs="宋体"/>
                <w:szCs w:val="21"/>
              </w:rPr>
            </w:pPr>
            <w:r>
              <w:rPr>
                <w:rFonts w:hint="eastAsia" w:ascii="宋体" w:hAnsi="宋体" w:cs="宋体"/>
                <w:szCs w:val="21"/>
              </w:rPr>
              <w:t>近</w:t>
            </w:r>
            <w:r>
              <w:rPr>
                <w:rFonts w:hint="eastAsia" w:ascii="宋体" w:hAnsi="宋体" w:cs="宋体"/>
                <w:szCs w:val="21"/>
                <w:lang w:eastAsia="zh-CN"/>
              </w:rPr>
              <w:t>五</w:t>
            </w:r>
            <w:r>
              <w:rPr>
                <w:rFonts w:hint="eastAsia" w:ascii="宋体" w:hAnsi="宋体" w:cs="宋体"/>
                <w:szCs w:val="21"/>
              </w:rPr>
              <w:t>年内，</w:t>
            </w:r>
            <w:r>
              <w:rPr>
                <w:rFonts w:hint="eastAsia" w:ascii="宋体" w:hAnsi="宋体" w:cs="宋体"/>
                <w:szCs w:val="21"/>
                <w:highlight w:val="none"/>
                <w:lang w:eastAsia="zh-CN"/>
              </w:rPr>
              <w:t>至少</w:t>
            </w:r>
            <w:r>
              <w:rPr>
                <w:rFonts w:hint="eastAsia" w:ascii="宋体" w:hAnsi="宋体" w:cs="宋体"/>
                <w:szCs w:val="21"/>
              </w:rPr>
              <w:t>完成过1项类似工程。</w:t>
            </w:r>
          </w:p>
        </w:tc>
      </w:tr>
      <w:tr w14:paraId="61A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324" w:type="dxa"/>
            <w:vAlign w:val="center"/>
          </w:tcPr>
          <w:p w14:paraId="74FE1F1B">
            <w:pPr>
              <w:widowControl w:val="0"/>
              <w:spacing w:line="400" w:lineRule="exact"/>
              <w:jc w:val="center"/>
              <w:rPr>
                <w:rFonts w:ascii="宋体" w:hAnsi="宋体" w:cs="宋体"/>
                <w:szCs w:val="21"/>
              </w:rPr>
            </w:pPr>
            <w:r>
              <w:rPr>
                <w:rFonts w:hint="eastAsia" w:ascii="宋体" w:hAnsi="宋体" w:cs="宋体"/>
                <w:szCs w:val="21"/>
              </w:rPr>
              <w:t>信用</w:t>
            </w:r>
          </w:p>
        </w:tc>
        <w:tc>
          <w:tcPr>
            <w:tcW w:w="7227" w:type="dxa"/>
            <w:vAlign w:val="center"/>
          </w:tcPr>
          <w:p w14:paraId="0A0EF4B9">
            <w:pPr>
              <w:widowControl w:val="0"/>
              <w:spacing w:line="400" w:lineRule="exact"/>
              <w:textAlignment w:val="auto"/>
              <w:rPr>
                <w:rFonts w:ascii="宋体" w:hAnsi="宋体" w:cs="宋体"/>
                <w:szCs w:val="21"/>
              </w:rPr>
            </w:pPr>
            <w:r>
              <w:rPr>
                <w:rFonts w:hint="eastAsia" w:ascii="宋体" w:hAnsi="宋体" w:cs="宋体"/>
                <w:szCs w:val="21"/>
              </w:rPr>
              <w:t>（1）报名单位在国家企业信用信息公示系统中未被列入严重违法失信企业名单；</w:t>
            </w:r>
          </w:p>
          <w:p w14:paraId="26D3E36E">
            <w:pPr>
              <w:widowControl w:val="0"/>
              <w:spacing w:line="400" w:lineRule="exact"/>
              <w:textAlignment w:val="auto"/>
              <w:rPr>
                <w:rFonts w:ascii="宋体" w:hAnsi="宋体" w:cs="宋体"/>
                <w:szCs w:val="21"/>
              </w:rPr>
            </w:pPr>
            <w:r>
              <w:rPr>
                <w:rFonts w:hint="eastAsia" w:ascii="宋体" w:hAnsi="宋体" w:cs="宋体"/>
                <w:szCs w:val="21"/>
              </w:rPr>
              <w:t>（2）报名单位在“信用中国”或地方信用网站的信用信息报告中无不良记录；</w:t>
            </w:r>
          </w:p>
        </w:tc>
      </w:tr>
      <w:tr w14:paraId="5CC0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324" w:type="dxa"/>
            <w:vAlign w:val="center"/>
          </w:tcPr>
          <w:p w14:paraId="4788B3ED">
            <w:pPr>
              <w:widowControl w:val="0"/>
              <w:spacing w:line="400" w:lineRule="exact"/>
              <w:jc w:val="center"/>
              <w:rPr>
                <w:rFonts w:ascii="宋体" w:hAnsi="宋体" w:cs="宋体"/>
                <w:szCs w:val="21"/>
              </w:rPr>
            </w:pPr>
            <w:r>
              <w:rPr>
                <w:rFonts w:hint="eastAsia" w:ascii="宋体" w:hAnsi="宋体" w:cs="宋体"/>
                <w:szCs w:val="21"/>
              </w:rPr>
              <w:t>报价</w:t>
            </w:r>
          </w:p>
        </w:tc>
        <w:tc>
          <w:tcPr>
            <w:tcW w:w="7227" w:type="dxa"/>
            <w:vAlign w:val="center"/>
          </w:tcPr>
          <w:p w14:paraId="08BA684E">
            <w:pPr>
              <w:widowControl w:val="0"/>
              <w:spacing w:line="400" w:lineRule="exact"/>
              <w:textAlignment w:val="auto"/>
              <w:rPr>
                <w:rFonts w:ascii="宋体" w:hAnsi="宋体" w:cs="宋体"/>
                <w:szCs w:val="21"/>
              </w:rPr>
            </w:pPr>
            <w:r>
              <w:rPr>
                <w:rFonts w:hint="eastAsia" w:cs="宋体"/>
              </w:rPr>
              <w:t>最高限价</w:t>
            </w:r>
            <w:r>
              <w:rPr>
                <w:rFonts w:hint="eastAsia" w:cs="宋体"/>
                <w:highlight w:val="none"/>
              </w:rPr>
              <w:t>84.5589</w:t>
            </w:r>
            <w:r>
              <w:rPr>
                <w:rFonts w:hint="eastAsia" w:cs="宋体"/>
              </w:rPr>
              <w:t>万元，</w:t>
            </w:r>
            <w:r>
              <w:rPr>
                <w:rFonts w:cs="宋体"/>
              </w:rPr>
              <w:t>报价</w:t>
            </w:r>
            <w:r>
              <w:rPr>
                <w:rFonts w:hint="eastAsia" w:cs="宋体"/>
              </w:rPr>
              <w:t>金额高于最高限价视作无效报价</w:t>
            </w:r>
          </w:p>
        </w:tc>
      </w:tr>
    </w:tbl>
    <w:p w14:paraId="2F9E1784">
      <w:pPr>
        <w:spacing w:line="360" w:lineRule="auto"/>
        <w:ind w:firstLine="420" w:firstLineChars="200"/>
        <w:rPr>
          <w:rFonts w:ascii="宋体" w:hAnsi="宋体" w:cs="宋体"/>
        </w:rPr>
      </w:pPr>
    </w:p>
    <w:p w14:paraId="7676C0BF">
      <w:pPr>
        <w:pStyle w:val="2"/>
        <w:rPr>
          <w:rFonts w:hAnsi="宋体" w:cs="宋体"/>
        </w:rPr>
      </w:pPr>
    </w:p>
    <w:p w14:paraId="79317A77">
      <w:pPr>
        <w:pStyle w:val="2"/>
        <w:rPr>
          <w:rFonts w:hAnsi="宋体" w:cs="宋体"/>
        </w:rPr>
      </w:pPr>
    </w:p>
    <w:p w14:paraId="70AA0AD7">
      <w:pPr>
        <w:spacing w:line="360" w:lineRule="auto"/>
        <w:rPr>
          <w:rFonts w:cs="宋体" w:asciiTheme="minorEastAsia" w:hAnsiTheme="minorEastAsia" w:eastAsiaTheme="minorEastAsia"/>
        </w:rPr>
      </w:pPr>
      <w:r>
        <w:rPr>
          <w:rFonts w:hint="eastAsia" w:cs="宋体" w:asciiTheme="minorEastAsia" w:hAnsiTheme="minorEastAsia" w:eastAsiaTheme="minorEastAsia"/>
        </w:rPr>
        <w:t>三、详细评审</w:t>
      </w:r>
    </w:p>
    <w:tbl>
      <w:tblPr>
        <w:tblStyle w:val="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2268"/>
        <w:gridCol w:w="5835"/>
      </w:tblGrid>
      <w:tr w14:paraId="3348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499" w:type="dxa"/>
            <w:vAlign w:val="center"/>
          </w:tcPr>
          <w:p w14:paraId="7D1C58BD">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b/>
              </w:rPr>
              <w:t>评审因素</w:t>
            </w:r>
          </w:p>
        </w:tc>
        <w:tc>
          <w:tcPr>
            <w:tcW w:w="2268" w:type="dxa"/>
            <w:vAlign w:val="center"/>
          </w:tcPr>
          <w:p w14:paraId="7DC110BB">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b/>
              </w:rPr>
              <w:t>分值</w:t>
            </w:r>
          </w:p>
        </w:tc>
        <w:tc>
          <w:tcPr>
            <w:tcW w:w="5835" w:type="dxa"/>
            <w:vAlign w:val="center"/>
          </w:tcPr>
          <w:p w14:paraId="637B54A9">
            <w:pPr>
              <w:spacing w:line="276" w:lineRule="auto"/>
              <w:jc w:val="center"/>
              <w:rPr>
                <w:rFonts w:cs="宋体" w:asciiTheme="minorEastAsia" w:hAnsiTheme="minorEastAsia" w:eastAsiaTheme="minorEastAsia"/>
              </w:rPr>
            </w:pPr>
            <w:r>
              <w:rPr>
                <w:rFonts w:hint="eastAsia" w:cs="宋体" w:asciiTheme="minorEastAsia" w:hAnsiTheme="minorEastAsia" w:eastAsiaTheme="minorEastAsia"/>
                <w:b/>
              </w:rPr>
              <w:t>评分标准</w:t>
            </w:r>
          </w:p>
        </w:tc>
      </w:tr>
      <w:tr w14:paraId="0ECF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99" w:type="dxa"/>
            <w:vAlign w:val="center"/>
          </w:tcPr>
          <w:p w14:paraId="7E66CC76">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施工</w:t>
            </w:r>
            <w:r>
              <w:rPr>
                <w:rFonts w:hint="eastAsia" w:cs="宋体" w:asciiTheme="minorEastAsia" w:hAnsiTheme="minorEastAsia" w:eastAsiaTheme="minorEastAsia"/>
                <w:szCs w:val="21"/>
                <w:lang w:eastAsia="zh-CN"/>
              </w:rPr>
              <w:t>（含交通）</w:t>
            </w:r>
            <w:r>
              <w:rPr>
                <w:rFonts w:hint="eastAsia" w:cs="宋体" w:asciiTheme="minorEastAsia" w:hAnsiTheme="minorEastAsia" w:eastAsiaTheme="minorEastAsia"/>
                <w:szCs w:val="21"/>
              </w:rPr>
              <w:t>组织设计</w:t>
            </w:r>
          </w:p>
        </w:tc>
        <w:tc>
          <w:tcPr>
            <w:tcW w:w="2268" w:type="dxa"/>
            <w:vAlign w:val="center"/>
          </w:tcPr>
          <w:p w14:paraId="3E11A6F1">
            <w:pPr>
              <w:spacing w:line="276" w:lineRule="auto"/>
              <w:jc w:val="center"/>
              <w:rPr>
                <w:rFonts w:cs="宋体" w:asciiTheme="minorEastAsia" w:hAnsiTheme="minorEastAsia" w:eastAsiaTheme="minorEastAsia"/>
                <w:szCs w:val="21"/>
              </w:rPr>
            </w:pPr>
            <w:bookmarkStart w:id="0" w:name="_GoBack"/>
            <w:bookmarkEnd w:id="0"/>
            <w:r>
              <w:rPr>
                <w:rFonts w:hint="eastAsia" w:cs="宋体" w:asciiTheme="minorEastAsia" w:hAnsiTheme="minorEastAsia" w:eastAsiaTheme="minorEastAsia"/>
                <w:szCs w:val="21"/>
              </w:rPr>
              <w:t>30</w:t>
            </w:r>
          </w:p>
        </w:tc>
        <w:tc>
          <w:tcPr>
            <w:tcW w:w="5835" w:type="dxa"/>
            <w:vAlign w:val="center"/>
          </w:tcPr>
          <w:p w14:paraId="1E36FB55">
            <w:pPr>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本项目路段处于工业区，来往重型车辆较多，</w:t>
            </w:r>
            <w:r>
              <w:rPr>
                <w:rFonts w:hint="eastAsia" w:cs="宋体" w:asciiTheme="minorEastAsia" w:hAnsiTheme="minorEastAsia" w:eastAsiaTheme="minorEastAsia"/>
                <w:szCs w:val="21"/>
              </w:rPr>
              <w:t>施工组织设计思路清晰</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控制措施是否得当，对项目的理解是否透彻，切实可行程度高，对工作计划安排的合理程度、质量保证措施等是否完善、可行，是否符合采购需求等进行综合比较：</w:t>
            </w:r>
          </w:p>
          <w:p w14:paraId="6F05EFB3">
            <w:pPr>
              <w:rPr>
                <w:rFonts w:cs="宋体" w:asciiTheme="minorEastAsia" w:hAnsiTheme="minorEastAsia" w:eastAsiaTheme="minorEastAsia"/>
                <w:szCs w:val="21"/>
              </w:rPr>
            </w:pPr>
            <w:r>
              <w:rPr>
                <w:rFonts w:hint="eastAsia" w:cs="宋体" w:asciiTheme="minorEastAsia" w:hAnsiTheme="minorEastAsia" w:eastAsiaTheme="minorEastAsia"/>
                <w:szCs w:val="21"/>
              </w:rPr>
              <w:t>优：24 &lt; 得分 ≤30，</w:t>
            </w:r>
          </w:p>
          <w:p w14:paraId="3AEA84D1">
            <w:pPr>
              <w:rPr>
                <w:rFonts w:cs="宋体" w:asciiTheme="minorEastAsia" w:hAnsiTheme="minorEastAsia" w:eastAsiaTheme="minorEastAsia"/>
                <w:szCs w:val="21"/>
              </w:rPr>
            </w:pPr>
            <w:r>
              <w:rPr>
                <w:rFonts w:hint="eastAsia" w:cs="宋体" w:asciiTheme="minorEastAsia" w:hAnsiTheme="minorEastAsia" w:eastAsiaTheme="minorEastAsia"/>
                <w:szCs w:val="21"/>
              </w:rPr>
              <w:t>良: 18 &lt; 得分 ≤24，</w:t>
            </w:r>
          </w:p>
          <w:p w14:paraId="1E87BD98">
            <w:pPr>
              <w:pStyle w:val="2"/>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一般: 得分 = 18 ，</w:t>
            </w:r>
          </w:p>
          <w:p w14:paraId="74271075">
            <w:pPr>
              <w:pStyle w:val="2"/>
              <w:rPr>
                <w:rFonts w:cs="宋体" w:asciiTheme="minorEastAsia" w:hAnsiTheme="minorEastAsia" w:eastAsiaTheme="minorEastAsia"/>
                <w:sz w:val="21"/>
                <w:szCs w:val="21"/>
              </w:rPr>
            </w:pPr>
            <w:r>
              <w:rPr>
                <w:rFonts w:hint="eastAsia"/>
                <w:sz w:val="21"/>
                <w:szCs w:val="21"/>
              </w:rPr>
              <w:t>未提交：0</w:t>
            </w:r>
          </w:p>
        </w:tc>
      </w:tr>
      <w:tr w14:paraId="17A1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99" w:type="dxa"/>
            <w:vAlign w:val="center"/>
          </w:tcPr>
          <w:p w14:paraId="7EDC2972">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企业业绩</w:t>
            </w:r>
          </w:p>
        </w:tc>
        <w:tc>
          <w:tcPr>
            <w:tcW w:w="2268" w:type="dxa"/>
            <w:vAlign w:val="center"/>
          </w:tcPr>
          <w:p w14:paraId="4C6E49C9">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tc>
        <w:tc>
          <w:tcPr>
            <w:tcW w:w="5835" w:type="dxa"/>
            <w:vAlign w:val="center"/>
          </w:tcPr>
          <w:p w14:paraId="414D3F69">
            <w:pPr>
              <w:widowControl w:val="0"/>
              <w:topLinePunct/>
              <w:textAlignment w:val="auto"/>
              <w:rPr>
                <w:rFonts w:ascii="宋体" w:hAnsi="宋体"/>
                <w:sz w:val="24"/>
              </w:rPr>
            </w:pPr>
            <w:r>
              <w:rPr>
                <w:rFonts w:hint="eastAsia" w:ascii="宋体" w:hAnsi="宋体"/>
                <w:sz w:val="24"/>
              </w:rPr>
              <w:t>根据报名单位提供的类似工程业绩，综合比较打分，</w:t>
            </w:r>
          </w:p>
          <w:p w14:paraId="3F7F614E">
            <w:pPr>
              <w:widowControl w:val="0"/>
              <w:textAlignment w:val="auto"/>
              <w:rPr>
                <w:rFonts w:ascii="宋体" w:hAnsi="宋体"/>
                <w:sz w:val="24"/>
              </w:rPr>
            </w:pPr>
            <w:r>
              <w:rPr>
                <w:rFonts w:hint="eastAsia" w:ascii="宋体" w:hAnsi="宋体"/>
                <w:sz w:val="24"/>
              </w:rPr>
              <w:t>优：16&lt; 得分 ≤20，</w:t>
            </w:r>
          </w:p>
          <w:p w14:paraId="30FF6950">
            <w:pPr>
              <w:widowControl w:val="0"/>
              <w:textAlignment w:val="auto"/>
              <w:rPr>
                <w:rFonts w:ascii="宋体" w:hAnsi="宋体"/>
                <w:sz w:val="24"/>
              </w:rPr>
            </w:pPr>
            <w:r>
              <w:rPr>
                <w:rFonts w:hint="eastAsia" w:ascii="宋体" w:hAnsi="宋体"/>
                <w:sz w:val="24"/>
              </w:rPr>
              <w:t>良：12&lt; 得分 ≤16，</w:t>
            </w:r>
          </w:p>
          <w:p w14:paraId="3FB0000A">
            <w:pPr>
              <w:widowControl w:val="0"/>
              <w:textAlignment w:val="auto"/>
              <w:rPr>
                <w:rFonts w:ascii="宋体" w:hAnsi="宋体"/>
                <w:sz w:val="24"/>
              </w:rPr>
            </w:pPr>
            <w:r>
              <w:rPr>
                <w:rFonts w:hint="eastAsia" w:ascii="宋体" w:hAnsi="宋体"/>
                <w:sz w:val="24"/>
              </w:rPr>
              <w:t>一般：得分 =12，</w:t>
            </w:r>
          </w:p>
          <w:p w14:paraId="7CE67F17">
            <w:pPr>
              <w:widowControl w:val="0"/>
              <w:textAlignment w:val="auto"/>
            </w:pPr>
            <w:r>
              <w:rPr>
                <w:rFonts w:hint="eastAsia" w:ascii="宋体" w:hAnsi="宋体"/>
                <w:sz w:val="24"/>
              </w:rPr>
              <w:t>本条款具体细化为：根据报名单位提供的近5年内同等规模及以上类似工程业绩证明。业绩≥5项为优，5项＞业绩≥3为良，3项＞业绩≥1为一般。</w:t>
            </w:r>
          </w:p>
        </w:tc>
      </w:tr>
      <w:tr w14:paraId="2BD3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499" w:type="dxa"/>
            <w:vAlign w:val="center"/>
          </w:tcPr>
          <w:p w14:paraId="7ECB6341">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拟投入主要人员</w:t>
            </w:r>
          </w:p>
        </w:tc>
        <w:tc>
          <w:tcPr>
            <w:tcW w:w="2268" w:type="dxa"/>
            <w:vAlign w:val="center"/>
          </w:tcPr>
          <w:p w14:paraId="7CF19539">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tc>
        <w:tc>
          <w:tcPr>
            <w:tcW w:w="5835" w:type="dxa"/>
            <w:vAlign w:val="center"/>
          </w:tcPr>
          <w:p w14:paraId="2DDAF00C">
            <w:pPr>
              <w:rPr>
                <w:rFonts w:cs="宋体" w:asciiTheme="minorEastAsia" w:hAnsiTheme="minorEastAsia" w:eastAsiaTheme="minorEastAsia"/>
                <w:szCs w:val="21"/>
              </w:rPr>
            </w:pPr>
            <w:r>
              <w:rPr>
                <w:rFonts w:hint="eastAsia" w:cs="宋体" w:asciiTheme="minorEastAsia" w:hAnsiTheme="minorEastAsia" w:eastAsiaTheme="minorEastAsia"/>
                <w:szCs w:val="21"/>
              </w:rPr>
              <w:t>根据报名单位提供的人员任职资格，综合比较打分，</w:t>
            </w:r>
            <w:r>
              <w:rPr>
                <w:rFonts w:cs="宋体" w:asciiTheme="minorEastAsia" w:hAnsiTheme="minorEastAsia" w:eastAsiaTheme="minorEastAsia"/>
                <w:szCs w:val="21"/>
              </w:rPr>
              <w:t xml:space="preserve"> </w:t>
            </w:r>
          </w:p>
          <w:p w14:paraId="6343F0B1">
            <w:pPr>
              <w:rPr>
                <w:rFonts w:cs="宋体" w:asciiTheme="minorEastAsia" w:hAnsiTheme="minorEastAsia" w:eastAsiaTheme="minorEastAsia"/>
                <w:szCs w:val="21"/>
              </w:rPr>
            </w:pPr>
            <w:r>
              <w:rPr>
                <w:rFonts w:hint="eastAsia" w:cs="宋体" w:asciiTheme="minorEastAsia" w:hAnsiTheme="minorEastAsia" w:eastAsiaTheme="minorEastAsia"/>
                <w:szCs w:val="21"/>
              </w:rPr>
              <w:t>优：16&lt; 得分 ≤20，</w:t>
            </w:r>
          </w:p>
          <w:p w14:paraId="7A45565B">
            <w:pPr>
              <w:rPr>
                <w:rFonts w:cs="宋体" w:asciiTheme="minorEastAsia" w:hAnsiTheme="minorEastAsia" w:eastAsiaTheme="minorEastAsia"/>
                <w:szCs w:val="21"/>
              </w:rPr>
            </w:pPr>
            <w:r>
              <w:rPr>
                <w:rFonts w:hint="eastAsia" w:cs="宋体" w:asciiTheme="minorEastAsia" w:hAnsiTheme="minorEastAsia" w:eastAsiaTheme="minorEastAsia"/>
                <w:szCs w:val="21"/>
              </w:rPr>
              <w:t>良: 12 &lt; 得分 ≤16，</w:t>
            </w:r>
          </w:p>
          <w:p w14:paraId="36F3C7E7">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一般: 得分 = 12 </w:t>
            </w:r>
          </w:p>
          <w:p w14:paraId="0A7F2794">
            <w:pPr>
              <w:pStyle w:val="2"/>
              <w:rPr>
                <w:sz w:val="21"/>
                <w:szCs w:val="21"/>
              </w:rPr>
            </w:pPr>
            <w:r>
              <w:rPr>
                <w:rFonts w:hint="eastAsia"/>
                <w:sz w:val="21"/>
                <w:szCs w:val="21"/>
              </w:rPr>
              <w:t>未提交：0</w:t>
            </w:r>
          </w:p>
          <w:p w14:paraId="0FFAF5E3">
            <w:pPr>
              <w:pStyle w:val="2"/>
              <w:rPr>
                <w:sz w:val="21"/>
                <w:szCs w:val="21"/>
              </w:rPr>
            </w:pPr>
            <w:r>
              <w:rPr>
                <w:rFonts w:hint="eastAsia" w:cs="宋体" w:asciiTheme="minorEastAsia" w:hAnsiTheme="minorEastAsia" w:eastAsiaTheme="minorEastAsia"/>
                <w:kern w:val="2"/>
                <w:sz w:val="21"/>
                <w:szCs w:val="21"/>
              </w:rPr>
              <w:t>根据提供项目经理、总工等人员资格中至少含1名高级工程师和1名工程师为优，提供人员资格中至少含3名工程师为良，提供人员资格中至少含2名工程师为一般。</w:t>
            </w:r>
          </w:p>
        </w:tc>
      </w:tr>
      <w:tr w14:paraId="4642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499" w:type="dxa"/>
            <w:vAlign w:val="center"/>
          </w:tcPr>
          <w:p w14:paraId="34752F48">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履约信誉</w:t>
            </w:r>
          </w:p>
          <w:p w14:paraId="612AA320">
            <w:pPr>
              <w:pStyle w:val="2"/>
              <w:jc w:val="center"/>
              <w:rPr>
                <w:sz w:val="21"/>
              </w:rPr>
            </w:pPr>
            <w:r>
              <w:rPr>
                <w:rFonts w:hint="eastAsia"/>
                <w:sz w:val="21"/>
              </w:rPr>
              <w:t>（如有）</w:t>
            </w:r>
          </w:p>
        </w:tc>
        <w:tc>
          <w:tcPr>
            <w:tcW w:w="2268" w:type="dxa"/>
            <w:vAlign w:val="center"/>
          </w:tcPr>
          <w:p w14:paraId="2E768E51">
            <w:pPr>
              <w:spacing w:line="276" w:lineRule="auto"/>
              <w:jc w:val="center"/>
            </w:pPr>
            <w:r>
              <w:rPr>
                <w:rFonts w:hint="eastAsia" w:cs="宋体" w:asciiTheme="minorEastAsia" w:hAnsiTheme="minorEastAsia" w:eastAsiaTheme="minorEastAsia"/>
                <w:szCs w:val="21"/>
              </w:rPr>
              <w:t>10</w:t>
            </w:r>
          </w:p>
        </w:tc>
        <w:tc>
          <w:tcPr>
            <w:tcW w:w="5835" w:type="dxa"/>
            <w:vAlign w:val="center"/>
          </w:tcPr>
          <w:p w14:paraId="3C800B7D">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zh-CN"/>
              </w:rPr>
              <w:t>AA、A、B、C级单位的信用等级分得分分别为</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u w:val="single"/>
              </w:rPr>
              <w:t>10</w:t>
            </w:r>
            <w:r>
              <w:rPr>
                <w:rFonts w:hint="eastAsia" w:cs="宋体" w:asciiTheme="minorEastAsia" w:hAnsiTheme="minorEastAsia" w:eastAsiaTheme="minorEastAsia"/>
                <w:szCs w:val="21"/>
                <w:u w:val="single"/>
                <w:lang w:val="zh-CN"/>
              </w:rPr>
              <w:t xml:space="preserve"> </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u w:val="single"/>
              </w:rPr>
              <w:t>9.5</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u w:val="single"/>
              </w:rPr>
              <w:t>8.9</w:t>
            </w:r>
            <w:r>
              <w:rPr>
                <w:rFonts w:hint="eastAsia" w:cs="宋体" w:asciiTheme="minorEastAsia" w:hAnsiTheme="minorEastAsia" w:eastAsiaTheme="minorEastAsia"/>
                <w:szCs w:val="21"/>
                <w:lang w:val="zh-CN"/>
              </w:rPr>
              <w:t>、</w:t>
            </w:r>
            <w:r>
              <w:rPr>
                <w:rFonts w:hint="eastAsia" w:cs="宋体" w:asciiTheme="minorEastAsia" w:hAnsiTheme="minorEastAsia" w:eastAsiaTheme="minorEastAsia"/>
                <w:szCs w:val="21"/>
                <w:u w:val="single"/>
              </w:rPr>
              <w:t>7.3</w:t>
            </w:r>
            <w:r>
              <w:rPr>
                <w:rFonts w:hint="eastAsia" w:cs="宋体" w:asciiTheme="minorEastAsia" w:hAnsiTheme="minorEastAsia" w:eastAsiaTheme="minorEastAsia"/>
                <w:szCs w:val="21"/>
                <w:lang w:val="zh-CN"/>
              </w:rPr>
              <w:t>分。</w:t>
            </w:r>
            <w:r>
              <w:rPr>
                <w:rFonts w:hint="eastAsia" w:cs="宋体" w:asciiTheme="minorEastAsia" w:hAnsiTheme="minorEastAsia" w:eastAsiaTheme="minorEastAsia"/>
                <w:szCs w:val="21"/>
                <w:highlight w:val="none"/>
                <w:lang w:val="zh-CN"/>
              </w:rPr>
              <w:t>（提供</w:t>
            </w:r>
            <w:r>
              <w:rPr>
                <w:rFonts w:hint="eastAsia" w:cs="宋体" w:asciiTheme="minorEastAsia" w:hAnsiTheme="minorEastAsia" w:eastAsiaTheme="minorEastAsia"/>
                <w:szCs w:val="21"/>
                <w:highlight w:val="none"/>
                <w:lang w:val="en-US" w:eastAsia="zh-CN"/>
              </w:rPr>
              <w:t>最新年度信用等级，国家、省、市均可</w:t>
            </w:r>
            <w:r>
              <w:rPr>
                <w:rFonts w:hint="eastAsia" w:cs="宋体" w:asciiTheme="minorEastAsia" w:hAnsiTheme="minorEastAsia" w:eastAsiaTheme="minorEastAsia"/>
                <w:szCs w:val="21"/>
                <w:highlight w:val="none"/>
                <w:lang w:val="zh-CN"/>
              </w:rPr>
              <w:t>）</w:t>
            </w:r>
          </w:p>
        </w:tc>
      </w:tr>
      <w:tr w14:paraId="2E47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vAlign w:val="center"/>
          </w:tcPr>
          <w:p w14:paraId="1E86AB5D">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报价</w:t>
            </w:r>
          </w:p>
        </w:tc>
        <w:tc>
          <w:tcPr>
            <w:tcW w:w="2268" w:type="dxa"/>
            <w:vAlign w:val="center"/>
          </w:tcPr>
          <w:p w14:paraId="5DD60CB3">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tc>
        <w:tc>
          <w:tcPr>
            <w:tcW w:w="5835" w:type="dxa"/>
            <w:vAlign w:val="center"/>
          </w:tcPr>
          <w:p w14:paraId="1EDE9450">
            <w:pPr>
              <w:pStyle w:val="2"/>
              <w:rPr>
                <w:rFonts w:asciiTheme="minorEastAsia" w:hAnsiTheme="minorEastAsia" w:eastAsiaTheme="minorEastAsia"/>
                <w:sz w:val="21"/>
                <w:szCs w:val="21"/>
              </w:rPr>
            </w:pPr>
            <w:r>
              <w:rPr>
                <w:rFonts w:hint="eastAsia" w:asciiTheme="minorEastAsia" w:hAnsiTheme="minorEastAsia" w:eastAsiaTheme="minorEastAsia"/>
                <w:sz w:val="21"/>
                <w:szCs w:val="21"/>
              </w:rPr>
              <w:t>按该公式计算得分：</w:t>
            </w:r>
          </w:p>
          <w:p w14:paraId="3DF11BF7">
            <w:pPr>
              <w:pStyle w:val="2"/>
              <w:rPr>
                <w:rFonts w:cs="宋体" w:asciiTheme="minorEastAsia" w:hAnsiTheme="minorEastAsia" w:eastAsiaTheme="minorEastAsia"/>
                <w:spacing w:val="-12"/>
                <w:szCs w:val="21"/>
              </w:rPr>
            </w:pPr>
            <w:r>
              <w:rPr>
                <w:rFonts w:hint="eastAsia" w:asciiTheme="minorEastAsia" w:hAnsiTheme="minorEastAsia" w:eastAsiaTheme="minorEastAsia"/>
                <w:sz w:val="21"/>
                <w:szCs w:val="21"/>
                <w:highlight w:val="none"/>
              </w:rPr>
              <w:t>得分=20*（最高价-报价）/（最高价-最低价）</w:t>
            </w:r>
          </w:p>
        </w:tc>
      </w:tr>
      <w:tr w14:paraId="4FA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99" w:type="dxa"/>
            <w:vAlign w:val="center"/>
          </w:tcPr>
          <w:p w14:paraId="03C615C7">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2268" w:type="dxa"/>
            <w:vAlign w:val="center"/>
          </w:tcPr>
          <w:p w14:paraId="712DB463">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100</w:t>
            </w:r>
          </w:p>
        </w:tc>
        <w:tc>
          <w:tcPr>
            <w:tcW w:w="5835" w:type="dxa"/>
            <w:vAlign w:val="center"/>
          </w:tcPr>
          <w:p w14:paraId="340A0703">
            <w:pPr>
              <w:spacing w:line="276" w:lineRule="auto"/>
              <w:rPr>
                <w:rFonts w:cs="宋体" w:asciiTheme="minorEastAsia" w:hAnsiTheme="minorEastAsia" w:eastAsiaTheme="minorEastAsia"/>
                <w:szCs w:val="21"/>
                <w:lang w:val="zh-CN"/>
              </w:rPr>
            </w:pPr>
          </w:p>
        </w:tc>
      </w:tr>
    </w:tbl>
    <w:p w14:paraId="7052B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453E89"/>
    <w:rsid w:val="00002A48"/>
    <w:rsid w:val="00067D07"/>
    <w:rsid w:val="001401E8"/>
    <w:rsid w:val="00196E98"/>
    <w:rsid w:val="00263109"/>
    <w:rsid w:val="00332E3B"/>
    <w:rsid w:val="003A554F"/>
    <w:rsid w:val="00453E89"/>
    <w:rsid w:val="004545CA"/>
    <w:rsid w:val="00523F3E"/>
    <w:rsid w:val="0059724B"/>
    <w:rsid w:val="006979D7"/>
    <w:rsid w:val="006F55EB"/>
    <w:rsid w:val="00737C61"/>
    <w:rsid w:val="007952A7"/>
    <w:rsid w:val="009604C3"/>
    <w:rsid w:val="009A117C"/>
    <w:rsid w:val="00A4650D"/>
    <w:rsid w:val="00A6338C"/>
    <w:rsid w:val="00B07924"/>
    <w:rsid w:val="00B928E1"/>
    <w:rsid w:val="00BD338D"/>
    <w:rsid w:val="00C33232"/>
    <w:rsid w:val="00CD5D78"/>
    <w:rsid w:val="00D07BC6"/>
    <w:rsid w:val="00D846A3"/>
    <w:rsid w:val="00DB35CD"/>
    <w:rsid w:val="00E10F83"/>
    <w:rsid w:val="00E6692F"/>
    <w:rsid w:val="00ED1423"/>
    <w:rsid w:val="00F2366E"/>
    <w:rsid w:val="00FA2AE5"/>
    <w:rsid w:val="05F41E8B"/>
    <w:rsid w:val="0CA37841"/>
    <w:rsid w:val="1FDF1F7E"/>
    <w:rsid w:val="21387D5C"/>
    <w:rsid w:val="28E06EFB"/>
    <w:rsid w:val="2EA749A8"/>
    <w:rsid w:val="373D426B"/>
    <w:rsid w:val="39234FC4"/>
    <w:rsid w:val="405E34D6"/>
    <w:rsid w:val="581B6D1F"/>
    <w:rsid w:val="5A5654C0"/>
    <w:rsid w:val="5B345B39"/>
    <w:rsid w:val="6BBB1626"/>
    <w:rsid w:val="6E893DC8"/>
    <w:rsid w:val="7E013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kern w:val="0"/>
      <w:sz w:val="20"/>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纯文本 Char"/>
    <w:basedOn w:val="6"/>
    <w:link w:val="2"/>
    <w:qFormat/>
    <w:uiPriority w:val="0"/>
    <w:rPr>
      <w:rFonts w:ascii="宋体" w:hAnsi="Courier New" w:eastAsia="宋体" w:cs="Times New Roman"/>
      <w:kern w:val="0"/>
      <w:sz w:val="20"/>
      <w:szCs w:val="20"/>
    </w:rPr>
  </w:style>
  <w:style w:type="character" w:customStyle="1" w:styleId="9">
    <w:name w:val="页眉 Char"/>
    <w:basedOn w:val="6"/>
    <w:link w:val="4"/>
    <w:qFormat/>
    <w:uiPriority w:val="99"/>
    <w:rPr>
      <w:rFonts w:ascii="Calibri" w:hAnsi="Calibri" w:eastAsia="宋体" w:cs="Times New Roman"/>
      <w:sz w:val="18"/>
      <w:szCs w:val="18"/>
    </w:rPr>
  </w:style>
  <w:style w:type="character" w:customStyle="1" w:styleId="10">
    <w:name w:val="页脚 Char"/>
    <w:basedOn w:val="6"/>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Pages>
  <Words>966</Words>
  <Characters>1009</Characters>
  <Lines>7</Lines>
  <Paragraphs>2</Paragraphs>
  <TotalTime>6</TotalTime>
  <ScaleCrop>false</ScaleCrop>
  <LinksUpToDate>false</LinksUpToDate>
  <CharactersWithSpaces>1038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2023-06-06T02:43:00Z</dcterms:created>
  <dc:creator>张佩瑜</dc:creator>
  <cp:lastModifiedBy>孙亚男</cp:lastModifiedBy>
  <dcterms:modified xsi:type="dcterms:W3CDTF">2025-11-21T00:54:33Z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eyJoZGlkIjoiMjcwNGJkZTIyMTkxZGVjMzMwZDY2MjkxYzMxMGZjMmEifQ==</vt:lpwstr>
  </property>
  <property fmtid="{D5CDD505-2E9C-101B-9397-08002B2CF9AE}" pid="3" name="KSOProductBuildVer">
    <vt:lpwstr>2052-12.1.0.23542</vt:lpwstr>
  </property>
  <property fmtid="{D5CDD505-2E9C-101B-9397-08002B2CF9AE}" pid="4" name="ICV">
    <vt:lpwstr>474A4DD7DF484916A2C72DFFA11751A3_12</vt:lpwstr>
  </property>
</Properties>
</file>