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00" w:lineRule="auto"/>
        <w:ind w:left="0" w:leftChars="0" w:right="0" w:rightChars="0" w:firstLine="0" w:firstLineChars="0"/>
        <w:jc w:val="center"/>
        <w:textAlignment w:val="auto"/>
        <w:outlineLvl w:val="9"/>
        <w:rPr>
          <w:rFonts w:hint="eastAsia" w:ascii="仿宋_GB2312" w:hAnsi="仿宋_GB2312" w:eastAsia="仿宋_GB2312" w:cs="仿宋_GB2312"/>
          <w:b/>
          <w:sz w:val="28"/>
          <w:szCs w:val="28"/>
          <w:lang w:eastAsia="zh-CN"/>
        </w:rPr>
      </w:pPr>
      <w:r>
        <w:rPr>
          <w:rFonts w:hint="eastAsia" w:ascii="仿宋_GB2312" w:hAnsi="仿宋_GB2312" w:eastAsia="仿宋_GB2312" w:cs="仿宋_GB2312"/>
          <w:b/>
          <w:sz w:val="28"/>
          <w:szCs w:val="28"/>
          <w:lang w:val="en-US" w:eastAsia="zh-CN"/>
        </w:rPr>
        <w:t>项目二：</w:t>
      </w:r>
      <w:r>
        <w:rPr>
          <w:rFonts w:hint="eastAsia" w:ascii="仿宋_GB2312" w:hAnsi="仿宋_GB2312" w:eastAsia="仿宋_GB2312" w:cs="仿宋_GB2312"/>
          <w:b/>
          <w:sz w:val="28"/>
          <w:szCs w:val="28"/>
          <w:lang w:eastAsia="zh-CN"/>
        </w:rPr>
        <w:t>广州市岭南新苑项目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00" w:lineRule="auto"/>
        <w:ind w:left="0" w:leftChars="0" w:right="0" w:rightChars="0" w:firstLine="0" w:firstLineChars="0"/>
        <w:jc w:val="center"/>
        <w:textAlignment w:val="auto"/>
        <w:outlineLvl w:val="9"/>
        <w:rPr>
          <w:rFonts w:hint="eastAsia" w:ascii="仿宋_GB2312" w:hAnsi="仿宋_GB2312" w:eastAsia="仿宋_GB2312" w:cs="仿宋_GB2312"/>
          <w:b w:val="0"/>
          <w:bCs/>
          <w:sz w:val="28"/>
          <w:szCs w:val="28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/>
          <w:sz w:val="28"/>
          <w:szCs w:val="28"/>
          <w:lang w:eastAsia="zh-CN"/>
        </w:rPr>
        <w:t>（绿色建筑项目）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after="0" w:line="300" w:lineRule="auto"/>
        <w:ind w:left="0" w:leftChars="0" w:right="0" w:rightChars="0"/>
        <w:jc w:val="center"/>
        <w:textAlignment w:val="auto"/>
        <w:rPr>
          <w:rFonts w:hint="eastAsia" w:ascii="仿宋" w:hAnsi="仿宋" w:eastAsia="仿宋"/>
          <w:b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0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黑体" w:hAnsi="黑体" w:eastAsia="黑体" w:cs="黑体"/>
          <w:b w:val="0"/>
          <w:bCs/>
          <w:sz w:val="24"/>
          <w:szCs w:val="24"/>
        </w:rPr>
      </w:pPr>
      <w:r>
        <w:rPr>
          <w:rFonts w:hint="eastAsia" w:ascii="黑体" w:hAnsi="黑体" w:eastAsia="黑体" w:cs="黑体"/>
          <w:b w:val="0"/>
          <w:bCs/>
          <w:sz w:val="24"/>
          <w:szCs w:val="24"/>
        </w:rPr>
        <w:t>一、项目情况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after="0" w:line="30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项目建设单位：广州市越汇房地产开发有限公司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after="0" w:line="30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项目设计单位：广州城建开发设计院有限公司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after="0" w:line="30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施工单位：广州市第三建筑工程有限公司、广州市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sz w:val="24"/>
          <w:szCs w:val="24"/>
        </w:rPr>
        <w:t>第四建筑工程有限公司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after="0" w:line="30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本项目位于广州市荔湾区西湾路以西，南北均为规划中的城市公园，西面毗邻增埗河，东面紧邻规划的中小学。项目工程总投资11亿，总建筑面积22万多平方米，绿地率55.9%，含11栋32层的高层住宅及2栋低层配套公建（幼儿园及会所），可容纳1800多户居民居住。该项目采用了因地制宜的规划设计，有效降低了小区的热岛效应，降低了小区住户的空调电能消耗。广州岭南新苑项目C1-C11栋获得国家二星级绿色建筑设计标识、广东省二星A级绿色建筑运行标识，并获得国家绿色建筑创新奖三等奖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0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黑体" w:hAnsi="黑体" w:eastAsia="黑体" w:cs="黑体"/>
          <w:b w:val="0"/>
          <w:bCs/>
          <w:sz w:val="24"/>
          <w:szCs w:val="24"/>
        </w:rPr>
      </w:pPr>
      <w:r>
        <w:rPr>
          <w:rFonts w:hint="eastAsia" w:ascii="黑体" w:hAnsi="黑体" w:eastAsia="黑体" w:cs="黑体"/>
          <w:b w:val="0"/>
          <w:bCs/>
          <w:sz w:val="24"/>
          <w:szCs w:val="24"/>
        </w:rPr>
        <w:t>二、主要技术介绍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楷体_GB2312" w:hAnsi="楷体_GB2312" w:eastAsia="楷体_GB2312" w:cs="楷体"/>
          <w:bCs/>
          <w:sz w:val="24"/>
          <w:szCs w:val="24"/>
          <w:lang w:val="en-US" w:eastAsia="zh-CN"/>
        </w:rPr>
      </w:pPr>
      <w:r>
        <w:rPr>
          <w:rFonts w:hint="eastAsia" w:ascii="楷体_GB2312" w:hAnsi="楷体_GB2312" w:eastAsia="楷体_GB2312" w:cs="楷体"/>
          <w:bCs/>
          <w:sz w:val="24"/>
          <w:szCs w:val="24"/>
          <w:lang w:val="en-US" w:eastAsia="zh-CN"/>
        </w:rPr>
        <w:t>（一）因地制宜的规划设计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after="0" w:line="30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结合岭南地域气候环境，融入传统的岭南建筑空间设计手法、岭南文化元素、岭南园林，营造舒适、健康的室外环境。基地现状地形起伏较大，整个基地地形呈东高西低态势。整个基地地形呈东高西低态势。建筑布局顺应地形，总体规划吸取岭南民居传统布局特点，采用大围合式、整体呈“C”形布局，形成半围合的大庭院。而楼座围合成东开口，东南风穿堂环绕，形成舒适的小气候环境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after="0" w:line="300" w:lineRule="auto"/>
        <w:ind w:left="0" w:leftChars="0" w:right="0" w:rightChars="0" w:firstLine="600" w:firstLineChars="250"/>
        <w:jc w:val="center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drawing>
          <wp:inline distT="0" distB="0" distL="114300" distR="114300">
            <wp:extent cx="4353560" cy="2976245"/>
            <wp:effectExtent l="0" t="0" r="8890" b="14605"/>
            <wp:docPr id="2" name="图片 2" descr="2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57.jpg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53560" cy="2976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楷体_GB2312" w:hAnsi="楷体_GB2312" w:eastAsia="楷体_GB2312" w:cs="楷体"/>
          <w:bCs/>
          <w:sz w:val="24"/>
          <w:szCs w:val="24"/>
          <w:lang w:val="en-US" w:eastAsia="zh-CN"/>
        </w:rPr>
      </w:pPr>
      <w:r>
        <w:rPr>
          <w:rFonts w:hint="eastAsia" w:ascii="楷体_GB2312" w:hAnsi="楷体_GB2312" w:eastAsia="楷体_GB2312" w:cs="楷体"/>
          <w:bCs/>
          <w:sz w:val="24"/>
          <w:szCs w:val="24"/>
          <w:lang w:val="en-US" w:eastAsia="zh-CN"/>
        </w:rPr>
        <w:t>（二）具有特色的岭南园林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after="0" w:line="30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小区中央配建了超过3万平米的岭南园林，萃取岭南四大名园精粹，园林以水体贯穿，营造“商”、“茶”、“丝”、“变”四大主题庭院、十二大景观组团，内种植数百种岭南本地特色花木，绿影婆娑、芳香阵阵，与亭台水榭、假山叠石等特色元素相互交融，相互映衬，步移景异，完美展现千载岭南庭院和岭南水乡的文化神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after="0" w:line="300" w:lineRule="auto"/>
        <w:ind w:left="0" w:leftChars="0" w:right="0" w:rightChars="0" w:firstLine="600" w:firstLineChars="250"/>
        <w:jc w:val="both"/>
        <w:textAlignment w:val="auto"/>
        <w:rPr>
          <w:rFonts w:ascii="仿宋_GB2312" w:eastAsia="仿宋_GB2312"/>
          <w:sz w:val="24"/>
          <w:szCs w:val="24"/>
        </w:rPr>
      </w:pPr>
      <w:r>
        <w:rPr>
          <w:rFonts w:ascii="仿宋_GB2312" w:eastAsia="仿宋_GB2312"/>
          <w:sz w:val="24"/>
          <w:szCs w:val="24"/>
        </w:rPr>
        <w:drawing>
          <wp:inline distT="0" distB="0" distL="114300" distR="114300">
            <wp:extent cx="5057775" cy="2667000"/>
            <wp:effectExtent l="19050" t="0" r="9525" b="0"/>
            <wp:docPr id="7" name="图片 3" descr="湾畔6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湾畔6.jpg"/>
                    <pic:cNvPicPr>
                      <a:picLocks noGrp="1" noChangeAspect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楷体_GB2312" w:hAnsi="楷体_GB2312" w:eastAsia="楷体_GB2312" w:cs="楷体"/>
          <w:bCs/>
          <w:sz w:val="24"/>
          <w:szCs w:val="24"/>
          <w:lang w:val="en-US" w:eastAsia="zh-CN"/>
        </w:rPr>
      </w:pPr>
      <w:r>
        <w:rPr>
          <w:rFonts w:hint="eastAsia" w:ascii="楷体_GB2312" w:hAnsi="楷体_GB2312" w:eastAsia="楷体_GB2312" w:cs="楷体"/>
          <w:bCs/>
          <w:sz w:val="24"/>
          <w:szCs w:val="24"/>
          <w:lang w:val="en-US" w:eastAsia="zh-CN"/>
        </w:rPr>
        <w:t>（三）岭南特色的被动式节能技术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after="0" w:line="300" w:lineRule="auto"/>
        <w:ind w:left="0" w:leftChars="0" w:right="0" w:rightChars="0" w:firstLine="600" w:firstLineChars="250"/>
        <w:jc w:val="both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drawing>
          <wp:inline distT="0" distB="0" distL="114300" distR="114300">
            <wp:extent cx="4972050" cy="2790825"/>
            <wp:effectExtent l="19050" t="0" r="0" b="0"/>
            <wp:docPr id="5" name="图片 5" descr="DSC_3042AA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SC_3042AA.jpg"/>
                    <pic:cNvPicPr>
                      <a:picLocks noGrp="1"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after="0" w:line="300" w:lineRule="auto"/>
        <w:ind w:left="0" w:leftChars="0" w:right="0" w:rightChars="0" w:firstLine="600" w:firstLineChars="250"/>
        <w:jc w:val="both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住宅首层架空为自然通风层和居民活动空间，达到节能目的。地下室设置开口天井组织自然通风与采光，并设置导管筒，将室外的光引到地下室，配合地下室的智能照明系统，有效减少白天地下室的照明用电负荷，既能满足业主的使用要求，又达到节能的目的。采用下沉式广场设计，有效解决地下室通风问题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after="0" w:line="300" w:lineRule="auto"/>
        <w:ind w:left="0" w:leftChars="0" w:right="0" w:rightChars="0" w:firstLine="600" w:firstLineChars="250"/>
        <w:jc w:val="both"/>
        <w:textAlignment w:val="auto"/>
        <w:rPr>
          <w:rFonts w:ascii="仿宋_GB2312" w:eastAsia="仿宋_GB2312"/>
          <w:sz w:val="24"/>
          <w:szCs w:val="24"/>
        </w:rPr>
      </w:pPr>
      <w:r>
        <w:rPr>
          <w:rFonts w:hint="eastAsia" w:ascii="仿宋_GB2312" w:eastAsia="仿宋_GB2312"/>
          <w:sz w:val="24"/>
          <w:szCs w:val="24"/>
        </w:rPr>
        <w:drawing>
          <wp:inline distT="0" distB="0" distL="114300" distR="114300">
            <wp:extent cx="2371725" cy="2076450"/>
            <wp:effectExtent l="19050" t="0" r="9525" b="0"/>
            <wp:docPr id="6" name="图片 6" descr="DSC00278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SC00278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eastAsia="仿宋_GB2312"/>
          <w:sz w:val="24"/>
          <w:szCs w:val="24"/>
        </w:rPr>
        <w:drawing>
          <wp:inline distT="0" distB="0" distL="114300" distR="114300">
            <wp:extent cx="2286000" cy="2076450"/>
            <wp:effectExtent l="19050" t="0" r="0" b="0"/>
            <wp:docPr id="9" name="图片 7" descr="DSC00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 descr="DSC0027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after="0" w:line="300" w:lineRule="auto"/>
        <w:ind w:left="0" w:leftChars="0" w:right="0" w:rightChars="0" w:firstLine="600" w:firstLineChars="250"/>
        <w:jc w:val="both"/>
        <w:textAlignment w:val="auto"/>
        <w:rPr>
          <w:rFonts w:ascii="仿宋_GB2312" w:eastAsia="仿宋_GB2312"/>
          <w:sz w:val="24"/>
          <w:szCs w:val="24"/>
        </w:rPr>
      </w:pPr>
      <w:r>
        <w:rPr>
          <w:rFonts w:hint="eastAsia" w:ascii="楷体_GB2312" w:hAnsi="楷体_GB2312" w:eastAsia="楷体_GB2312" w:cs="楷体"/>
          <w:bCs/>
          <w:sz w:val="24"/>
          <w:szCs w:val="24"/>
          <w:lang w:val="en-US" w:eastAsia="zh-CN"/>
        </w:rPr>
        <w:t>（四）非传统水源利用</w:t>
      </w:r>
      <w:r>
        <w:rPr>
          <w:rFonts w:ascii="仿宋_GB2312" w:eastAsia="仿宋_GB2312"/>
          <w:sz w:val="24"/>
          <w:szCs w:val="24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after="0" w:line="30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将生活废水（不含大便器冲洗排水）和人工湿地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</w:rPr>
        <w:t>积为540m2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收集雨水作为中水水源，全部收集，经过处理后，用于住宅区的绿化浇灌、道路和住宅区地下车库冲洗用水。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节约了市政用水</w:t>
      </w:r>
      <w:r>
        <w:rPr>
          <w:rFonts w:hint="eastAsia" w:ascii="仿宋_GB2312" w:hAnsi="仿宋_GB2312" w:eastAsia="仿宋_GB2312" w:cs="仿宋_GB2312"/>
          <w:sz w:val="24"/>
          <w:szCs w:val="24"/>
        </w:rPr>
        <w:t>，减轻了市政雨水管网压力，起到了防洪排涝的作用。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after="0" w:line="300" w:lineRule="auto"/>
        <w:ind w:left="0" w:leftChars="0" w:right="0" w:rightChars="0" w:firstLine="600" w:firstLineChars="250"/>
        <w:jc w:val="both"/>
        <w:textAlignment w:val="auto"/>
        <w:rPr>
          <w:rFonts w:ascii="仿宋_GB2312" w:eastAsia="仿宋_GB2312"/>
          <w:sz w:val="24"/>
          <w:szCs w:val="24"/>
        </w:rPr>
      </w:pPr>
      <w:r>
        <w:rPr>
          <w:rFonts w:ascii="仿宋_GB2312" w:eastAsia="仿宋_GB2312"/>
          <w:sz w:val="24"/>
          <w:szCs w:val="24"/>
        </w:rPr>
        <w:drawing>
          <wp:inline distT="0" distB="0" distL="114300" distR="114300">
            <wp:extent cx="5172075" cy="2638425"/>
            <wp:effectExtent l="19050" t="0" r="9525" b="0"/>
            <wp:docPr id="4" name="图片 4" descr="湾畔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湾畔67.jp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楷体_GB2312" w:hAnsi="楷体_GB2312" w:eastAsia="楷体_GB2312" w:cs="楷体"/>
          <w:bCs/>
          <w:sz w:val="24"/>
          <w:szCs w:val="24"/>
          <w:lang w:val="en-US" w:eastAsia="zh-CN"/>
        </w:rPr>
      </w:pPr>
      <w:r>
        <w:rPr>
          <w:rFonts w:hint="eastAsia" w:ascii="楷体_GB2312" w:hAnsi="楷体_GB2312" w:eastAsia="楷体_GB2312" w:cs="楷体"/>
          <w:bCs/>
          <w:sz w:val="24"/>
          <w:szCs w:val="24"/>
          <w:lang w:val="en-US" w:eastAsia="zh-CN"/>
        </w:rPr>
        <w:t xml:space="preserve">（五）倒虹管设计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after="0" w:line="30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采用倒虹管排除下沉广场的雨水，代替传统的设置集水井及潜水泵提升排放做法，节省用电量。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after="0" w:line="300" w:lineRule="auto"/>
        <w:ind w:left="0" w:leftChars="0" w:right="0" w:rightChars="0"/>
        <w:jc w:val="both"/>
        <w:textAlignment w:val="auto"/>
        <w:rPr>
          <w:rFonts w:hint="eastAsia" w:ascii="仿宋_GB2312" w:eastAsia="仿宋_GB2312"/>
          <w:sz w:val="24"/>
          <w:szCs w:val="24"/>
        </w:rPr>
      </w:pPr>
      <w:r>
        <w:rPr>
          <w:rFonts w:ascii="仿宋_GB2312" w:eastAsia="仿宋_GB2312"/>
          <w:sz w:val="24"/>
          <w:szCs w:val="24"/>
        </w:rPr>
        <w:drawing>
          <wp:inline distT="0" distB="0" distL="0" distR="0">
            <wp:extent cx="5486400" cy="3635375"/>
            <wp:effectExtent l="38100" t="19050" r="19050" b="3175"/>
            <wp:docPr id="1" name="图片 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Grp="1"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3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prstShdw prst="shdw17" dist="17961" dir="2700000">
                        <a:schemeClr val="accent1">
                          <a:gamma/>
                          <a:shade val="60000"/>
                          <a:invGamma/>
                        </a:schemeClr>
                      </a:prstShdw>
                    </a:effectLst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after="0" w:line="300" w:lineRule="auto"/>
        <w:ind w:left="0" w:leftChars="0" w:right="0" w:rightChars="0" w:firstLine="480" w:firstLineChars="200"/>
        <w:jc w:val="both"/>
        <w:textAlignment w:val="auto"/>
        <w:rPr>
          <w:rFonts w:ascii="仿宋_GB2312" w:eastAsia="仿宋_GB2312"/>
          <w:sz w:val="24"/>
          <w:szCs w:val="24"/>
        </w:rPr>
      </w:pPr>
      <w:r>
        <w:rPr>
          <w:rFonts w:hint="eastAsia" w:ascii="楷体_GB2312" w:hAnsi="楷体_GB2312" w:eastAsia="楷体_GB2312" w:cs="楷体"/>
          <w:bCs/>
          <w:sz w:val="24"/>
          <w:szCs w:val="24"/>
          <w:lang w:val="en-US" w:eastAsia="zh-CN"/>
        </w:rPr>
        <w:t>（六）降低城市热岛强度,改善居住舒适度</w:t>
      </w:r>
      <w:r>
        <w:rPr>
          <w:rFonts w:hint="eastAsia" w:ascii="仿宋_GB2312" w:eastAsia="仿宋_GB2312"/>
          <w:b/>
          <w:bCs/>
          <w:sz w:val="24"/>
          <w:szCs w:val="24"/>
        </w:rP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after="0" w:line="300" w:lineRule="auto"/>
        <w:ind w:left="0" w:leftChars="0" w:right="0" w:rightChars="0" w:firstLine="480" w:firstLineChars="200"/>
        <w:jc w:val="both"/>
        <w:textAlignment w:val="auto"/>
        <w:rPr>
          <w:rFonts w:hint="eastAsia" w:ascii="仿宋_GB2312" w:eastAsia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小区绿地景观、架空层、水体景观有助于降低室外气温，区内热岛强度为-0.7度，为冷岛。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after="0" w:line="300" w:lineRule="auto"/>
        <w:ind w:right="0" w:rightChars="0"/>
        <w:jc w:val="both"/>
        <w:textAlignment w:val="auto"/>
        <w:rPr>
          <w:rFonts w:hint="eastAsia" w:ascii="仿宋_GB2312" w:eastAsia="仿宋_GB2312"/>
          <w:sz w:val="24"/>
          <w:szCs w:val="24"/>
        </w:rPr>
      </w:pPr>
      <w:r>
        <w:rPr>
          <w:rFonts w:hint="eastAsia" w:ascii="仿宋_GB2312" w:eastAsia="仿宋_GB2312"/>
          <w:sz w:val="24"/>
          <w:szCs w:val="24"/>
        </w:rPr>
        <w:t xml:space="preserve"> </w:t>
      </w:r>
      <w:r>
        <w:rPr>
          <w:rFonts w:ascii="仿宋_GB2312" w:eastAsia="仿宋_GB2312"/>
          <w:sz w:val="24"/>
          <w:szCs w:val="24"/>
        </w:rPr>
        <w:drawing>
          <wp:inline distT="0" distB="0" distL="0" distR="0">
            <wp:extent cx="2471420" cy="1914525"/>
            <wp:effectExtent l="0" t="0" r="4762" b="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1738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eastAsia="仿宋_GB2312"/>
          <w:sz w:val="24"/>
          <w:szCs w:val="24"/>
          <w:lang w:val="en-US" w:eastAsia="zh-CN"/>
        </w:rPr>
        <w:t xml:space="preserve">    </w:t>
      </w:r>
      <w:r>
        <w:rPr>
          <w:rFonts w:ascii="仿宋_GB2312" w:eastAsia="仿宋_GB2312"/>
          <w:sz w:val="24"/>
          <w:szCs w:val="24"/>
        </w:rPr>
        <w:drawing>
          <wp:inline distT="0" distB="0" distL="0" distR="0">
            <wp:extent cx="2385695" cy="1814195"/>
            <wp:effectExtent l="0" t="0" r="0" b="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6012" cy="1814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300" w:lineRule="auto"/>
        <w:ind w:left="0" w:leftChars="0" w:right="0" w:rightChars="0" w:firstLine="960" w:firstLineChars="400"/>
        <w:jc w:val="both"/>
        <w:textAlignment w:val="auto"/>
        <w:outlineLvl w:val="9"/>
        <w:rPr>
          <w:rFonts w:ascii="仿宋_GB2312" w:eastAsia="仿宋_GB2312"/>
          <w:b w:val="0"/>
          <w:bCs w:val="0"/>
          <w:sz w:val="24"/>
          <w:szCs w:val="24"/>
        </w:rPr>
      </w:pPr>
      <w:r>
        <w:rPr>
          <w:rFonts w:hint="eastAsia" w:ascii="仿宋_GB2312" w:eastAsia="仿宋_GB2312"/>
          <w:b w:val="0"/>
          <w:bCs w:val="0"/>
          <w:sz w:val="24"/>
          <w:szCs w:val="24"/>
        </w:rPr>
        <w:t>小区内部空气温度测试值</w:t>
      </w:r>
      <w:r>
        <w:rPr>
          <w:rFonts w:hint="eastAsia" w:ascii="仿宋_GB2312" w:eastAsia="仿宋_GB2312"/>
          <w:b w:val="0"/>
          <w:bCs w:val="0"/>
          <w:sz w:val="24"/>
          <w:szCs w:val="24"/>
          <w:lang w:val="en-US" w:eastAsia="zh-CN"/>
        </w:rPr>
        <w:t xml:space="preserve">         </w:t>
      </w:r>
      <w:r>
        <w:rPr>
          <w:rFonts w:hint="eastAsia" w:ascii="仿宋_GB2312" w:eastAsia="仿宋_GB2312"/>
          <w:b w:val="0"/>
          <w:bCs w:val="0"/>
          <w:sz w:val="24"/>
          <w:szCs w:val="24"/>
        </w:rPr>
        <w:t>测试期间天气与夏季典型气象日对比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after="0" w:line="300" w:lineRule="auto"/>
        <w:ind w:left="0" w:leftChars="0" w:right="0" w:rightChars="0"/>
        <w:jc w:val="both"/>
        <w:textAlignment w:val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0" distR="0">
            <wp:extent cx="5838825" cy="2171700"/>
            <wp:effectExtent l="19050" t="0" r="9525" b="0"/>
            <wp:docPr id="12" name="图片 1" descr="C:\Users\Administrator\AppData\Roaming\Tencent\Users\284264153\QQ\WinTemp\RichOle\WW0}55L1]YCP$P[{FRMN3@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 descr="C:\Users\Administrator\AppData\Roaming\Tencent\Users\284264153\QQ\WinTemp\RichOle\WW0}55L1]YCP$P[{FRMN3@P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after="0" w:line="300" w:lineRule="auto"/>
        <w:ind w:left="0" w:leftChars="0" w:right="0" w:rightChars="0" w:firstLine="480" w:firstLineChars="200"/>
        <w:jc w:val="both"/>
        <w:textAlignment w:val="auto"/>
        <w:rPr>
          <w:rFonts w:hint="eastAsia" w:ascii="仿宋_GB2312" w:eastAsia="仿宋_GB2312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0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黑体" w:hAnsi="黑体" w:eastAsia="黑体" w:cs="黑体"/>
          <w:b w:val="0"/>
          <w:bCs/>
          <w:sz w:val="24"/>
          <w:szCs w:val="24"/>
        </w:rPr>
      </w:pPr>
      <w:r>
        <w:rPr>
          <w:rFonts w:hint="eastAsia" w:ascii="黑体" w:hAnsi="黑体" w:eastAsia="黑体" w:cs="黑体"/>
          <w:b w:val="0"/>
          <w:bCs/>
          <w:sz w:val="24"/>
          <w:szCs w:val="24"/>
          <w:lang w:eastAsia="zh-CN"/>
        </w:rPr>
        <w:t>三</w:t>
      </w:r>
      <w:r>
        <w:rPr>
          <w:rFonts w:hint="eastAsia" w:ascii="黑体" w:hAnsi="黑体" w:eastAsia="黑体" w:cs="黑体"/>
          <w:b w:val="0"/>
          <w:bCs/>
          <w:sz w:val="24"/>
          <w:szCs w:val="24"/>
        </w:rPr>
        <w:t>、先进经验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after="0" w:line="30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本项目作为住宅小区，优先关注的是住户在日常生活中的健康、舒适和便捷性要求，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通过优化规划设计、岭南园林营造、岭南被动建筑手法应用及人工湿地结合的中水雨水回收利用等措施，</w:t>
      </w:r>
      <w:r>
        <w:rPr>
          <w:rFonts w:hint="eastAsia" w:ascii="仿宋_GB2312" w:hAnsi="仿宋_GB2312" w:eastAsia="仿宋_GB2312" w:cs="仿宋_GB2312"/>
          <w:sz w:val="24"/>
          <w:szCs w:val="24"/>
        </w:rPr>
        <w:t>节约建筑能耗，减少对大气的二氧化硫、二氧化碳排放，充分利用雨水资源，减少固体废物排放，为小区住户及周边居民提供一个更开阔的绿色共享空间。</w:t>
      </w:r>
    </w:p>
    <w:sectPr>
      <w:footerReference r:id="rId3" w:type="default"/>
      <w:pgSz w:w="11906" w:h="16838"/>
      <w:pgMar w:top="2098" w:right="1474" w:bottom="2098" w:left="1531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小标宋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_GB2312">
    <w:altName w:val="楷体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snapToGrid w:val="0"/>
                            <w:rPr>
                              <w:rFonts w:hint="eastAsia" w:eastAsia="微软雅黑"/>
                              <w:sz w:val="18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I3F45UVAgAAFQ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snapToGrid w:val="0"/>
                      <w:rPr>
                        <w:rFonts w:hint="eastAsia" w:eastAsia="微软雅黑"/>
                        <w:sz w:val="18"/>
                        <w:lang w:eastAsia="zh-CN"/>
                      </w:rPr>
                    </w:pPr>
                    <w:r>
                      <w:rPr>
                        <w:rFonts w:hint="eastAsia"/>
                        <w:sz w:val="18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  <w:lang w:eastAsia="zh-CN"/>
                      </w:rPr>
                      <w:fldChar w:fldCharType="separate"/>
                    </w:r>
                    <w:r>
                      <w:rPr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720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075781"/>
    <w:rsid w:val="00090772"/>
    <w:rsid w:val="001F3BCF"/>
    <w:rsid w:val="0024582C"/>
    <w:rsid w:val="00257C74"/>
    <w:rsid w:val="00262D95"/>
    <w:rsid w:val="00287406"/>
    <w:rsid w:val="002A5164"/>
    <w:rsid w:val="00323B43"/>
    <w:rsid w:val="003326E8"/>
    <w:rsid w:val="003D30AB"/>
    <w:rsid w:val="003D37D8"/>
    <w:rsid w:val="00426133"/>
    <w:rsid w:val="004358AB"/>
    <w:rsid w:val="004D5D2B"/>
    <w:rsid w:val="00566444"/>
    <w:rsid w:val="005D2C62"/>
    <w:rsid w:val="00730103"/>
    <w:rsid w:val="00736DEA"/>
    <w:rsid w:val="00740276"/>
    <w:rsid w:val="00763FF8"/>
    <w:rsid w:val="007D6298"/>
    <w:rsid w:val="007E15FD"/>
    <w:rsid w:val="00802993"/>
    <w:rsid w:val="008169C2"/>
    <w:rsid w:val="00882EEE"/>
    <w:rsid w:val="00885D0D"/>
    <w:rsid w:val="00886181"/>
    <w:rsid w:val="008A6918"/>
    <w:rsid w:val="008B7726"/>
    <w:rsid w:val="00936A94"/>
    <w:rsid w:val="00974B47"/>
    <w:rsid w:val="0097778F"/>
    <w:rsid w:val="009C33B7"/>
    <w:rsid w:val="009F63FF"/>
    <w:rsid w:val="00A07769"/>
    <w:rsid w:val="00A60C7D"/>
    <w:rsid w:val="00A950FC"/>
    <w:rsid w:val="00AA178E"/>
    <w:rsid w:val="00AC18E0"/>
    <w:rsid w:val="00B24FE5"/>
    <w:rsid w:val="00B51069"/>
    <w:rsid w:val="00B91E6F"/>
    <w:rsid w:val="00BD5A7F"/>
    <w:rsid w:val="00CB443B"/>
    <w:rsid w:val="00CD0438"/>
    <w:rsid w:val="00D133EF"/>
    <w:rsid w:val="00D31D50"/>
    <w:rsid w:val="00DF58C7"/>
    <w:rsid w:val="00E361E1"/>
    <w:rsid w:val="00EC37E5"/>
    <w:rsid w:val="00EE733C"/>
    <w:rsid w:val="0644574A"/>
    <w:rsid w:val="11A60D6A"/>
    <w:rsid w:val="12E054B9"/>
    <w:rsid w:val="193A33FB"/>
    <w:rsid w:val="1C91180A"/>
    <w:rsid w:val="1F9912B9"/>
    <w:rsid w:val="266404E1"/>
    <w:rsid w:val="299B60B8"/>
    <w:rsid w:val="31A03521"/>
    <w:rsid w:val="3C65248D"/>
    <w:rsid w:val="3F97310F"/>
    <w:rsid w:val="56207F43"/>
    <w:rsid w:val="5FA16281"/>
    <w:rsid w:val="64B946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="微软雅黑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6">
    <w:name w:val="Default Paragraph Font"/>
    <w:unhideWhenUsed/>
    <w:qFormat/>
    <w:uiPriority w:val="1"/>
  </w:style>
  <w:style w:type="table" w:default="1" w:styleId="7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unhideWhenUsed/>
    <w:qFormat/>
    <w:uiPriority w:val="99"/>
    <w:pPr>
      <w:spacing w:after="0"/>
    </w:pPr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5">
    <w:name w:val="Normal (Web)"/>
    <w:basedOn w:val="1"/>
    <w:unhideWhenUsed/>
    <w:qFormat/>
    <w:uiPriority w:val="99"/>
    <w:pPr>
      <w:adjustRightInd/>
      <w:snapToGrid/>
      <w:spacing w:before="100" w:beforeAutospacing="1" w:after="100" w:afterAutospacing="1"/>
    </w:pPr>
    <w:rPr>
      <w:rFonts w:ascii="宋体" w:hAnsi="宋体" w:eastAsia="宋体" w:cs="宋体"/>
      <w:sz w:val="24"/>
      <w:szCs w:val="24"/>
    </w:rPr>
  </w:style>
  <w:style w:type="character" w:customStyle="1" w:styleId="8">
    <w:name w:val="页眉 Char"/>
    <w:basedOn w:val="6"/>
    <w:link w:val="4"/>
    <w:semiHidden/>
    <w:qFormat/>
    <w:uiPriority w:val="99"/>
    <w:rPr>
      <w:rFonts w:ascii="Tahoma" w:hAnsi="Tahoma"/>
      <w:sz w:val="18"/>
      <w:szCs w:val="18"/>
    </w:rPr>
  </w:style>
  <w:style w:type="character" w:customStyle="1" w:styleId="9">
    <w:name w:val="页脚 Char"/>
    <w:basedOn w:val="6"/>
    <w:link w:val="3"/>
    <w:qFormat/>
    <w:uiPriority w:val="99"/>
    <w:rPr>
      <w:rFonts w:ascii="Tahoma" w:hAnsi="Tahoma"/>
      <w:sz w:val="18"/>
      <w:szCs w:val="18"/>
    </w:rPr>
  </w:style>
  <w:style w:type="character" w:customStyle="1" w:styleId="10">
    <w:name w:val="批注框文本 Char"/>
    <w:basedOn w:val="6"/>
    <w:link w:val="2"/>
    <w:semiHidden/>
    <w:qFormat/>
    <w:uiPriority w:val="99"/>
    <w:rPr>
      <w:rFonts w:ascii="Tahoma" w:hAnsi="Tahoma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2.xml"/><Relationship Id="rId15" Type="http://schemas.openxmlformats.org/officeDocument/2006/relationships/customXml" Target="../customXml/item1.xml"/><Relationship Id="rId14" Type="http://schemas.openxmlformats.org/officeDocument/2006/relationships/image" Target="media/image10.png"/><Relationship Id="rId13" Type="http://schemas.openxmlformats.org/officeDocument/2006/relationships/image" Target="media/image9.emf"/><Relationship Id="rId12" Type="http://schemas.openxmlformats.org/officeDocument/2006/relationships/image" Target="media/image8.emf"/><Relationship Id="rId11" Type="http://schemas.openxmlformats.org/officeDocument/2006/relationships/image" Target="media/image7.pn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C74D89A-DA35-4853-842F-71DA4EFF26F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344</Words>
  <Characters>1961</Characters>
  <Lines>16</Lines>
  <Paragraphs>4</Paragraphs>
  <ScaleCrop>false</ScaleCrop>
  <LinksUpToDate>false</LinksUpToDate>
  <CharactersWithSpaces>2301</CharactersWithSpaces>
  <Application>WPS Office_10.1.0.6554_F1E327BC-269C-435d-A152-05C5408002CA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Administrator</dc:creator>
  <cp:lastModifiedBy>小陈</cp:lastModifiedBy>
  <dcterms:modified xsi:type="dcterms:W3CDTF">2017-06-21T13:56:54Z</dcterms:modified>
  <cp:revision>30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2052-10.1.0.6554</vt:lpwstr>
  </property>
</Properties>
</file>