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00" w:lineRule="auto"/>
        <w:ind w:left="0" w:leftChars="0" w:right="0" w:rightChars="0"/>
        <w:jc w:val="center"/>
        <w:textAlignment w:val="auto"/>
        <w:rPr>
          <w:rFonts w:hint="eastAsia" w:ascii="仿宋_GB2312" w:hAnsi="仿宋_GB2312" w:eastAsia="仿宋_GB2312" w:cs="仿宋_GB2312"/>
          <w:b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00" w:lineRule="auto"/>
        <w:ind w:left="0" w:leftChars="0" w:right="0" w:rightChars="0"/>
        <w:jc w:val="center"/>
        <w:textAlignment w:val="auto"/>
        <w:rPr>
          <w:rFonts w:hint="eastAsia" w:ascii="仿宋_GB2312" w:hAnsi="仿宋_GB2312" w:eastAsia="仿宋_GB2312" w:cs="仿宋_GB2312"/>
          <w:b/>
          <w:bCs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sz w:val="28"/>
          <w:szCs w:val="28"/>
          <w:lang w:eastAsia="zh-CN"/>
        </w:rPr>
        <w:t>项目十一：</w:t>
      </w:r>
      <w:r>
        <w:rPr>
          <w:rFonts w:hint="eastAsia" w:ascii="仿宋_GB2312" w:hAnsi="仿宋_GB2312" w:eastAsia="仿宋_GB2312" w:cs="仿宋_GB2312"/>
          <w:b/>
          <w:sz w:val="28"/>
          <w:szCs w:val="28"/>
        </w:rPr>
        <w:t>深圳国际贸易中心大厦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00" w:lineRule="auto"/>
        <w:ind w:left="0" w:leftChars="0" w:right="0" w:rightChars="0"/>
        <w:jc w:val="center"/>
        <w:textAlignment w:val="auto"/>
        <w:rPr>
          <w:rFonts w:hint="eastAsia" w:ascii="仿宋_GB2312" w:hAnsi="仿宋_GB2312" w:eastAsia="仿宋_GB2312" w:cs="仿宋_GB2312"/>
          <w:b w:val="0"/>
          <w:bCs/>
          <w:sz w:val="28"/>
          <w:szCs w:val="28"/>
        </w:rPr>
      </w:pPr>
      <w:r>
        <w:rPr>
          <w:rFonts w:hint="eastAsia" w:ascii="仿宋_GB2312" w:hAnsi="仿宋_GB2312" w:eastAsia="仿宋_GB2312" w:cs="仿宋_GB2312"/>
          <w:b w:val="0"/>
          <w:bCs/>
          <w:sz w:val="28"/>
          <w:szCs w:val="28"/>
        </w:rPr>
        <w:t>（公共建筑节能改造</w:t>
      </w:r>
      <w:r>
        <w:rPr>
          <w:rFonts w:hint="eastAsia" w:ascii="仿宋_GB2312" w:hAnsi="仿宋_GB2312" w:eastAsia="仿宋_GB2312" w:cs="仿宋_GB2312"/>
          <w:b w:val="0"/>
          <w:bCs/>
          <w:sz w:val="28"/>
          <w:szCs w:val="28"/>
          <w:lang w:eastAsia="zh-CN"/>
        </w:rPr>
        <w:t>项目</w:t>
      </w:r>
      <w:r>
        <w:rPr>
          <w:rFonts w:hint="eastAsia" w:ascii="仿宋_GB2312" w:hAnsi="仿宋_GB2312" w:eastAsia="仿宋_GB2312" w:cs="仿宋_GB2312"/>
          <w:b w:val="0"/>
          <w:bCs/>
          <w:sz w:val="28"/>
          <w:szCs w:val="28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00" w:lineRule="auto"/>
        <w:ind w:left="0" w:leftChars="0" w:right="0" w:rightChars="0"/>
        <w:jc w:val="center"/>
        <w:textAlignment w:val="auto"/>
        <w:rPr>
          <w:rFonts w:hint="eastAsia" w:ascii="仿宋_GB2312" w:hAnsi="仿宋_GB2312" w:eastAsia="仿宋_GB2312" w:cs="仿宋_GB2312"/>
          <w:b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一、项目概况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right="0" w:rightChars="0" w:firstLine="480" w:firstLineChars="200"/>
        <w:jc w:val="left"/>
        <w:textAlignment w:val="auto"/>
        <w:outlineLvl w:val="9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业主单位：深圳市物业发展公司（现物业集团前身）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right="0" w:rightChars="0" w:firstLine="480" w:firstLineChars="200"/>
        <w:textAlignment w:val="auto"/>
        <w:outlineLvl w:val="9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节能改造单位：深圳市政鑫智能系统有限公司、深圳市拓普威机电设备工程有限公司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right="0" w:rightChars="0" w:firstLine="480" w:firstLineChars="200"/>
        <w:textAlignment w:val="auto"/>
        <w:outlineLvl w:val="9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深圳国际贸易中心大厦（简称国贸大厦）坐落于深圳市罗湖商业中心区的嘉宾路与人民南路交汇点东北侧，是一座由我国各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sz w:val="24"/>
          <w:szCs w:val="24"/>
        </w:rPr>
        <w:t>部、省、市集资，深圳市物业发展公司（现物业集团前身）组织筹建的集商业、贸易、办公、饮食于一体的多功能超高层现代建筑。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kern w:val="0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fldChar w:fldCharType="begin"/>
      </w:r>
      <w:r>
        <w:rPr>
          <w:rFonts w:hint="eastAsia" w:ascii="仿宋_GB2312" w:hAnsi="仿宋_GB2312" w:eastAsia="仿宋_GB2312" w:cs="仿宋_GB2312"/>
          <w:sz w:val="24"/>
          <w:szCs w:val="24"/>
        </w:rPr>
        <w:instrText xml:space="preserve"> HYPERLINK "http://baike.baidu.com/subview/1375639/11096040.htm" \t "_blank" </w:instrTex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separate"/>
      </w:r>
      <w:r>
        <w:rPr>
          <w:rFonts w:hint="eastAsia" w:ascii="仿宋_GB2312" w:hAnsi="仿宋_GB2312" w:eastAsia="仿宋_GB2312" w:cs="仿宋_GB2312"/>
          <w:kern w:val="0"/>
          <w:sz w:val="24"/>
          <w:szCs w:val="24"/>
        </w:rPr>
        <w:t>国贸大厦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</w:rPr>
        <w:fldChar w:fldCharType="end"/>
      </w:r>
      <w:r>
        <w:rPr>
          <w:rFonts w:hint="eastAsia" w:ascii="仿宋_GB2312" w:hAnsi="仿宋_GB2312" w:eastAsia="仿宋_GB2312" w:cs="仿宋_GB2312"/>
          <w:sz w:val="24"/>
          <w:szCs w:val="24"/>
        </w:rPr>
        <w:t>总建筑面积104278 m</w:t>
      </w:r>
      <w:r>
        <w:rPr>
          <w:rFonts w:hint="eastAsia" w:ascii="仿宋_GB2312" w:hAnsi="仿宋_GB2312" w:eastAsia="仿宋_GB2312" w:cs="仿宋_GB2312"/>
          <w:sz w:val="24"/>
          <w:szCs w:val="24"/>
          <w:vertAlign w:val="superscript"/>
        </w:rPr>
        <w:t>2</w:t>
      </w:r>
      <w:r>
        <w:rPr>
          <w:rFonts w:hint="eastAsia" w:ascii="仿宋_GB2312" w:hAnsi="仿宋_GB2312" w:eastAsia="仿宋_GB2312" w:cs="仿宋_GB2312"/>
          <w:sz w:val="24"/>
          <w:szCs w:val="24"/>
        </w:rPr>
        <w:t>，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</w:rPr>
        <w:t>高160米，共53层。具体：</w:t>
      </w:r>
      <w:r>
        <w:rPr>
          <w:rFonts w:hint="eastAsia" w:ascii="仿宋_GB2312" w:hAnsi="仿宋_GB2312" w:eastAsia="仿宋_GB2312" w:cs="仿宋_GB2312"/>
          <w:sz w:val="24"/>
          <w:szCs w:val="24"/>
        </w:rPr>
        <w:t>地下3层，为车库；地上共50层，其中1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-</w:t>
      </w:r>
      <w:r>
        <w:rPr>
          <w:rFonts w:hint="eastAsia" w:ascii="仿宋_GB2312" w:hAnsi="仿宋_GB2312" w:eastAsia="仿宋_GB2312" w:cs="仿宋_GB2312"/>
          <w:sz w:val="24"/>
          <w:szCs w:val="24"/>
        </w:rPr>
        <w:t>4层主要为银行、商场、酒楼、发廊等， 5-23层及25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-</w:t>
      </w:r>
      <w:r>
        <w:rPr>
          <w:rFonts w:hint="eastAsia" w:ascii="仿宋_GB2312" w:hAnsi="仿宋_GB2312" w:eastAsia="仿宋_GB2312" w:cs="仿宋_GB2312"/>
          <w:sz w:val="24"/>
          <w:szCs w:val="24"/>
        </w:rPr>
        <w:t>43层为办公层，44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-</w:t>
      </w:r>
      <w:r>
        <w:rPr>
          <w:rFonts w:hint="eastAsia" w:ascii="仿宋_GB2312" w:hAnsi="仿宋_GB2312" w:eastAsia="仿宋_GB2312" w:cs="仿宋_GB2312"/>
          <w:sz w:val="24"/>
          <w:szCs w:val="24"/>
        </w:rPr>
        <w:t>47层、50层为设备层，24层为避难层，48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-</w:t>
      </w:r>
      <w:r>
        <w:rPr>
          <w:rFonts w:hint="eastAsia" w:ascii="仿宋_GB2312" w:hAnsi="仿宋_GB2312" w:eastAsia="仿宋_GB2312" w:cs="仿宋_GB2312"/>
          <w:sz w:val="24"/>
          <w:szCs w:val="24"/>
        </w:rPr>
        <w:t>49层为旋转餐厅</w:t>
      </w:r>
      <w:r>
        <w:rPr>
          <w:rFonts w:hint="eastAsia" w:ascii="仿宋_GB2312" w:hAnsi="仿宋_GB2312" w:eastAsia="仿宋_GB2312" w:cs="仿宋_GB2312"/>
          <w:kern w:val="0"/>
          <w:sz w:val="24"/>
          <w:szCs w:val="24"/>
        </w:rPr>
        <w:t xml:space="preserve">。 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right="0" w:rightChars="0" w:firstLine="480" w:firstLineChars="200"/>
        <w:textAlignment w:val="auto"/>
        <w:outlineLvl w:val="9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国贸大厦是我国建成最早的综合性超高层楼宇，创造了“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begin"/>
      </w:r>
      <w:r>
        <w:rPr>
          <w:rFonts w:hint="eastAsia" w:ascii="仿宋_GB2312" w:hAnsi="仿宋_GB2312" w:eastAsia="仿宋_GB2312" w:cs="仿宋_GB2312"/>
          <w:sz w:val="24"/>
          <w:szCs w:val="24"/>
        </w:rPr>
        <w:instrText xml:space="preserve"> HYPERLINK "http://baike.baidu.com/view/61937.htm" \t "_blank" </w:instrTex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separate"/>
      </w:r>
      <w:r>
        <w:rPr>
          <w:rFonts w:hint="eastAsia" w:ascii="仿宋_GB2312" w:hAnsi="仿宋_GB2312" w:eastAsia="仿宋_GB2312" w:cs="仿宋_GB2312"/>
          <w:sz w:val="24"/>
          <w:szCs w:val="24"/>
        </w:rPr>
        <w:t>深圳速度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end"/>
      </w:r>
      <w:r>
        <w:rPr>
          <w:rFonts w:hint="eastAsia" w:ascii="仿宋_GB2312" w:hAnsi="仿宋_GB2312" w:eastAsia="仿宋_GB2312" w:cs="仿宋_GB2312"/>
          <w:sz w:val="24"/>
          <w:szCs w:val="24"/>
        </w:rPr>
        <w:t>”（ 从1984年10月至1985年12月29日共15个月即竣工），素有“中华第一高楼”的美称，是深圳接待国内外游客的重要景点。党和国家领导人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begin"/>
      </w:r>
      <w:r>
        <w:rPr>
          <w:rFonts w:hint="eastAsia" w:ascii="仿宋_GB2312" w:hAnsi="仿宋_GB2312" w:eastAsia="仿宋_GB2312" w:cs="仿宋_GB2312"/>
          <w:sz w:val="24"/>
          <w:szCs w:val="24"/>
        </w:rPr>
        <w:instrText xml:space="preserve"> HYPERLINK "http://baike.baidu.com/view/1833.htm" \t "_blank" </w:instrTex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separate"/>
      </w:r>
      <w:r>
        <w:rPr>
          <w:rFonts w:hint="eastAsia" w:ascii="仿宋_GB2312" w:hAnsi="仿宋_GB2312" w:eastAsia="仿宋_GB2312" w:cs="仿宋_GB2312"/>
          <w:sz w:val="24"/>
          <w:szCs w:val="24"/>
        </w:rPr>
        <w:t>邓小平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end"/>
      </w:r>
      <w:r>
        <w:rPr>
          <w:rFonts w:hint="eastAsia" w:ascii="仿宋_GB2312" w:hAnsi="仿宋_GB2312" w:eastAsia="仿宋_GB2312" w:cs="仿宋_GB2312"/>
          <w:sz w:val="24"/>
          <w:szCs w:val="24"/>
        </w:rPr>
        <w:t>、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begin"/>
      </w:r>
      <w:r>
        <w:rPr>
          <w:rFonts w:hint="eastAsia" w:ascii="仿宋_GB2312" w:hAnsi="仿宋_GB2312" w:eastAsia="仿宋_GB2312" w:cs="仿宋_GB2312"/>
          <w:sz w:val="24"/>
          <w:szCs w:val="24"/>
        </w:rPr>
        <w:instrText xml:space="preserve"> HYPERLINK "http://baike.baidu.com/view/1781.htm" \t "_blank" </w:instrTex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separate"/>
      </w:r>
      <w:r>
        <w:rPr>
          <w:rFonts w:hint="eastAsia" w:ascii="仿宋_GB2312" w:hAnsi="仿宋_GB2312" w:eastAsia="仿宋_GB2312" w:cs="仿宋_GB2312"/>
          <w:sz w:val="24"/>
          <w:szCs w:val="24"/>
        </w:rPr>
        <w:t>江泽民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end"/>
      </w:r>
      <w:r>
        <w:rPr>
          <w:rFonts w:hint="eastAsia" w:ascii="仿宋_GB2312" w:hAnsi="仿宋_GB2312" w:eastAsia="仿宋_GB2312" w:cs="仿宋_GB2312"/>
          <w:sz w:val="24"/>
          <w:szCs w:val="24"/>
        </w:rPr>
        <w:t>、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begin"/>
      </w:r>
      <w:r>
        <w:rPr>
          <w:rFonts w:hint="eastAsia" w:ascii="仿宋_GB2312" w:hAnsi="仿宋_GB2312" w:eastAsia="仿宋_GB2312" w:cs="仿宋_GB2312"/>
          <w:sz w:val="24"/>
          <w:szCs w:val="24"/>
        </w:rPr>
        <w:instrText xml:space="preserve"> HYPERLINK "http://baike.baidu.com/view/1784.htm" \t "_blank" </w:instrTex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separate"/>
      </w:r>
      <w:r>
        <w:rPr>
          <w:rFonts w:hint="eastAsia" w:ascii="仿宋_GB2312" w:hAnsi="仿宋_GB2312" w:eastAsia="仿宋_GB2312" w:cs="仿宋_GB2312"/>
          <w:sz w:val="24"/>
          <w:szCs w:val="24"/>
        </w:rPr>
        <w:t>胡锦涛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end"/>
      </w:r>
      <w:r>
        <w:rPr>
          <w:rFonts w:hint="eastAsia" w:ascii="仿宋_GB2312" w:hAnsi="仿宋_GB2312" w:eastAsia="仿宋_GB2312" w:cs="仿宋_GB2312"/>
          <w:sz w:val="24"/>
          <w:szCs w:val="24"/>
        </w:rPr>
        <w:t>等先后光临国贸大厦、国际政治要人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begin"/>
      </w:r>
      <w:r>
        <w:rPr>
          <w:rFonts w:hint="eastAsia" w:ascii="仿宋_GB2312" w:hAnsi="仿宋_GB2312" w:eastAsia="仿宋_GB2312" w:cs="仿宋_GB2312"/>
          <w:sz w:val="24"/>
          <w:szCs w:val="24"/>
        </w:rPr>
        <w:instrText xml:space="preserve"> HYPERLINK "http://baike.baidu.com/view/21648.htm" \t "_blank" </w:instrTex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separate"/>
      </w:r>
      <w:r>
        <w:rPr>
          <w:rFonts w:hint="eastAsia" w:ascii="仿宋_GB2312" w:hAnsi="仿宋_GB2312" w:eastAsia="仿宋_GB2312" w:cs="仿宋_GB2312"/>
          <w:sz w:val="24"/>
          <w:szCs w:val="24"/>
        </w:rPr>
        <w:t>尼克松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end"/>
      </w:r>
      <w:r>
        <w:rPr>
          <w:rFonts w:hint="eastAsia" w:ascii="仿宋_GB2312" w:hAnsi="仿宋_GB2312" w:eastAsia="仿宋_GB2312" w:cs="仿宋_GB2312"/>
          <w:sz w:val="24"/>
          <w:szCs w:val="24"/>
        </w:rPr>
        <w:t>、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begin"/>
      </w:r>
      <w:r>
        <w:rPr>
          <w:rFonts w:hint="eastAsia" w:ascii="仿宋_GB2312" w:hAnsi="仿宋_GB2312" w:eastAsia="仿宋_GB2312" w:cs="仿宋_GB2312"/>
          <w:sz w:val="24"/>
          <w:szCs w:val="24"/>
        </w:rPr>
        <w:instrText xml:space="preserve"> HYPERLINK "http://baike.baidu.com/view/5878.htm" \t "_blank" </w:instrTex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separate"/>
      </w:r>
      <w:r>
        <w:rPr>
          <w:rFonts w:hint="eastAsia" w:ascii="仿宋_GB2312" w:hAnsi="仿宋_GB2312" w:eastAsia="仿宋_GB2312" w:cs="仿宋_GB2312"/>
          <w:sz w:val="24"/>
          <w:szCs w:val="24"/>
        </w:rPr>
        <w:t>布什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end"/>
      </w:r>
      <w:r>
        <w:rPr>
          <w:rFonts w:hint="eastAsia" w:ascii="仿宋_GB2312" w:hAnsi="仿宋_GB2312" w:eastAsia="仿宋_GB2312" w:cs="仿宋_GB2312"/>
          <w:sz w:val="24"/>
          <w:szCs w:val="24"/>
        </w:rPr>
        <w:t>、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begin"/>
      </w:r>
      <w:r>
        <w:rPr>
          <w:rFonts w:hint="eastAsia" w:ascii="仿宋_GB2312" w:hAnsi="仿宋_GB2312" w:eastAsia="仿宋_GB2312" w:cs="仿宋_GB2312"/>
          <w:sz w:val="24"/>
          <w:szCs w:val="24"/>
        </w:rPr>
        <w:instrText xml:space="preserve"> HYPERLINK "http://baike.baidu.com/view/132846.htm" \t "_blank" </w:instrTex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separate"/>
      </w:r>
      <w:r>
        <w:rPr>
          <w:rFonts w:hint="eastAsia" w:ascii="仿宋_GB2312" w:hAnsi="仿宋_GB2312" w:eastAsia="仿宋_GB2312" w:cs="仿宋_GB2312"/>
          <w:sz w:val="24"/>
          <w:szCs w:val="24"/>
        </w:rPr>
        <w:t>海部俊树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end"/>
      </w:r>
      <w:r>
        <w:rPr>
          <w:rFonts w:hint="eastAsia" w:ascii="仿宋_GB2312" w:hAnsi="仿宋_GB2312" w:eastAsia="仿宋_GB2312" w:cs="仿宋_GB2312"/>
          <w:sz w:val="24"/>
          <w:szCs w:val="24"/>
        </w:rPr>
        <w:t>、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begin"/>
      </w:r>
      <w:r>
        <w:rPr>
          <w:rFonts w:hint="eastAsia" w:ascii="仿宋_GB2312" w:hAnsi="仿宋_GB2312" w:eastAsia="仿宋_GB2312" w:cs="仿宋_GB2312"/>
          <w:sz w:val="24"/>
          <w:szCs w:val="24"/>
        </w:rPr>
        <w:instrText xml:space="preserve"> HYPERLINK "http://baike.baidu.com/view/7341.htm" \t "_blank" </w:instrTex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separate"/>
      </w:r>
      <w:r>
        <w:rPr>
          <w:rFonts w:hint="eastAsia" w:ascii="仿宋_GB2312" w:hAnsi="仿宋_GB2312" w:eastAsia="仿宋_GB2312" w:cs="仿宋_GB2312"/>
          <w:sz w:val="24"/>
          <w:szCs w:val="24"/>
        </w:rPr>
        <w:t>李光耀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end"/>
      </w:r>
      <w:r>
        <w:rPr>
          <w:rFonts w:hint="eastAsia" w:ascii="仿宋_GB2312" w:hAnsi="仿宋_GB2312" w:eastAsia="仿宋_GB2312" w:cs="仿宋_GB2312"/>
          <w:sz w:val="24"/>
          <w:szCs w:val="24"/>
        </w:rPr>
        <w:t>、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begin"/>
      </w:r>
      <w:r>
        <w:rPr>
          <w:rFonts w:hint="eastAsia" w:ascii="仿宋_GB2312" w:hAnsi="仿宋_GB2312" w:eastAsia="仿宋_GB2312" w:cs="仿宋_GB2312"/>
          <w:sz w:val="24"/>
          <w:szCs w:val="24"/>
        </w:rPr>
        <w:instrText xml:space="preserve"> HYPERLINK "http://baike.baidu.com/view/125267.htm" \t "_blank" </w:instrTex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separate"/>
      </w:r>
      <w:r>
        <w:rPr>
          <w:rFonts w:hint="eastAsia" w:ascii="仿宋_GB2312" w:hAnsi="仿宋_GB2312" w:eastAsia="仿宋_GB2312" w:cs="仿宋_GB2312"/>
          <w:sz w:val="24"/>
          <w:szCs w:val="24"/>
        </w:rPr>
        <w:t>加利</w: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end"/>
      </w:r>
      <w:r>
        <w:rPr>
          <w:rFonts w:hint="eastAsia" w:ascii="仿宋_GB2312" w:hAnsi="仿宋_GB2312" w:eastAsia="仿宋_GB2312" w:cs="仿宋_GB2312"/>
          <w:sz w:val="24"/>
          <w:szCs w:val="24"/>
        </w:rPr>
        <w:t>也先后到国贸访问过，到访过国贸大厦的国际国内友人迄今已达到600多位。国贸大厦是“深圳经济特区的窗口”，也是“中国改革开放的象征”，2006年6月，更荣获“深圳改革开放十大历史性建筑”称号。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right="0" w:rightChars="0" w:firstLine="480" w:firstLineChars="200"/>
        <w:textAlignment w:val="auto"/>
        <w:outlineLvl w:val="9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该建筑由建筑业主自投资金，与节能改造企业通过合同能源管理效益保证型方式合作，在建筑使用主体众多情况下，对公共区域进行充分改造，挖掘多功能综合建筑的节能潜力，并取得实际成效，是合同能源管理效益保证型典型的成功案例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spacing w:line="300" w:lineRule="auto"/>
        <w:ind w:left="0" w:leftChars="0" w:right="0" w:rightChars="0"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pStyle w:val="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00" w:lineRule="auto"/>
        <w:ind w:left="0" w:leftChars="0" w:right="0" w:rightChars="0" w:firstLine="0" w:firstLineChars="0"/>
        <w:jc w:val="center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drawing>
          <wp:inline distT="0" distB="0" distL="114300" distR="114300">
            <wp:extent cx="3792855" cy="2623820"/>
            <wp:effectExtent l="0" t="0" r="1714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92855" cy="2623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二、主要技术措施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楷体_GB2312" w:hAnsi="楷体_GB2312" w:eastAsia="楷体_GB2312" w:cs="楷体"/>
          <w:bCs/>
          <w:sz w:val="24"/>
          <w:szCs w:val="24"/>
        </w:rPr>
      </w:pPr>
      <w:r>
        <w:rPr>
          <w:rFonts w:hint="eastAsia" w:ascii="楷体_GB2312" w:hAnsi="楷体_GB2312" w:eastAsia="楷体_GB2312" w:cs="楷体"/>
          <w:bCs/>
          <w:sz w:val="24"/>
          <w:szCs w:val="24"/>
          <w:lang w:val="en-US" w:eastAsia="zh-CN"/>
        </w:rPr>
        <w:t>（一）</w:t>
      </w:r>
      <w:r>
        <w:rPr>
          <w:rFonts w:hint="eastAsia" w:ascii="楷体_GB2312" w:hAnsi="楷体_GB2312" w:eastAsia="楷体_GB2312" w:cs="楷体"/>
          <w:bCs/>
          <w:sz w:val="24"/>
          <w:szCs w:val="24"/>
        </w:rPr>
        <w:t>节能改造内容</w:t>
      </w:r>
    </w:p>
    <w:tbl>
      <w:tblPr>
        <w:tblStyle w:val="7"/>
        <w:tblW w:w="8522" w:type="dxa"/>
        <w:jc w:val="center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4"/>
        <w:gridCol w:w="1134"/>
        <w:gridCol w:w="2976"/>
        <w:gridCol w:w="2269"/>
        <w:gridCol w:w="1609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9" w:hRule="atLeast"/>
          <w:jc w:val="center"/>
        </w:trPr>
        <w:tc>
          <w:tcPr>
            <w:tcW w:w="534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sz w:val="24"/>
                <w:szCs w:val="24"/>
              </w:rPr>
              <w:t>序号</w:t>
            </w:r>
          </w:p>
        </w:tc>
        <w:tc>
          <w:tcPr>
            <w:tcW w:w="1134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b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sz w:val="24"/>
                <w:szCs w:val="24"/>
              </w:rPr>
              <w:t>改造类别</w:t>
            </w:r>
          </w:p>
        </w:tc>
        <w:tc>
          <w:tcPr>
            <w:tcW w:w="2976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b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sz w:val="24"/>
                <w:szCs w:val="24"/>
              </w:rPr>
              <w:t>原系统诊断</w:t>
            </w:r>
          </w:p>
        </w:tc>
        <w:tc>
          <w:tcPr>
            <w:tcW w:w="2269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b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sz w:val="24"/>
                <w:szCs w:val="24"/>
              </w:rPr>
              <w:t>改造措施</w:t>
            </w:r>
          </w:p>
        </w:tc>
        <w:tc>
          <w:tcPr>
            <w:tcW w:w="1609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b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sz w:val="24"/>
                <w:szCs w:val="24"/>
              </w:rPr>
              <w:t>实施量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6" w:hRule="atLeast"/>
          <w:jc w:val="center"/>
        </w:trPr>
        <w:tc>
          <w:tcPr>
            <w:tcW w:w="534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1</w:t>
            </w:r>
          </w:p>
        </w:tc>
        <w:tc>
          <w:tcPr>
            <w:tcW w:w="1134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照明系统</w:t>
            </w:r>
          </w:p>
        </w:tc>
        <w:tc>
          <w:tcPr>
            <w:tcW w:w="2976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公共区域照明系统由T5灯管、T8灯管组成，能耗较高</w:t>
            </w:r>
          </w:p>
        </w:tc>
        <w:tc>
          <w:tcPr>
            <w:tcW w:w="2269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将原有的T8/T5日光灯管进行LED节能改造</w:t>
            </w:r>
          </w:p>
        </w:tc>
        <w:tc>
          <w:tcPr>
            <w:tcW w:w="1609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3867盏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534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空调通风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系统</w:t>
            </w:r>
          </w:p>
        </w:tc>
        <w:tc>
          <w:tcPr>
            <w:tcW w:w="2976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冷水机组已运行约20年，设备老化，其运行COP低下</w:t>
            </w:r>
          </w:p>
        </w:tc>
        <w:tc>
          <w:tcPr>
            <w:tcW w:w="2269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更换高能效冷水机组</w:t>
            </w:r>
          </w:p>
        </w:tc>
        <w:tc>
          <w:tcPr>
            <w:tcW w:w="1609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4台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41" w:hRule="atLeast"/>
          <w:jc w:val="center"/>
        </w:trPr>
        <w:tc>
          <w:tcPr>
            <w:tcW w:w="534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</w:p>
        </w:tc>
        <w:tc>
          <w:tcPr>
            <w:tcW w:w="1134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</w:p>
        </w:tc>
        <w:tc>
          <w:tcPr>
            <w:tcW w:w="2976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冷却塔进出水温差在3.2℃-5.3℃之间，其中2#塔冷却效果最差，5#冷却塔冷却水量偏少。冷却塔总体换热效果较差。</w:t>
            </w:r>
          </w:p>
        </w:tc>
        <w:tc>
          <w:tcPr>
            <w:tcW w:w="2269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更换高效冷却塔</w:t>
            </w:r>
          </w:p>
        </w:tc>
        <w:tc>
          <w:tcPr>
            <w:tcW w:w="1609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4台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9" w:hRule="atLeast"/>
          <w:jc w:val="center"/>
        </w:trPr>
        <w:tc>
          <w:tcPr>
            <w:tcW w:w="534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</w:p>
        </w:tc>
        <w:tc>
          <w:tcPr>
            <w:tcW w:w="1134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</w:p>
        </w:tc>
        <w:tc>
          <w:tcPr>
            <w:tcW w:w="2976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水泵使用年限久，密封部件磨损严重，且5#冷却泵设计过大，效率非常低</w:t>
            </w:r>
          </w:p>
        </w:tc>
        <w:tc>
          <w:tcPr>
            <w:tcW w:w="2269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更换冷冻泵、冷却泵</w:t>
            </w:r>
          </w:p>
        </w:tc>
        <w:tc>
          <w:tcPr>
            <w:tcW w:w="1609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15台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9" w:hRule="atLeast"/>
          <w:jc w:val="center"/>
        </w:trPr>
        <w:tc>
          <w:tcPr>
            <w:tcW w:w="534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</w:p>
        </w:tc>
        <w:tc>
          <w:tcPr>
            <w:tcW w:w="1134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</w:p>
        </w:tc>
        <w:tc>
          <w:tcPr>
            <w:tcW w:w="2976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一次供水与二次供水的温差为3.2℃，板式换热器的热交换效率很差</w:t>
            </w:r>
          </w:p>
        </w:tc>
        <w:tc>
          <w:tcPr>
            <w:tcW w:w="2269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增大新风量，更换新风处理机</w:t>
            </w:r>
          </w:p>
        </w:tc>
        <w:tc>
          <w:tcPr>
            <w:tcW w:w="1609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8台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9" w:hRule="atLeast"/>
          <w:jc w:val="center"/>
        </w:trPr>
        <w:tc>
          <w:tcPr>
            <w:tcW w:w="534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</w:p>
        </w:tc>
        <w:tc>
          <w:tcPr>
            <w:tcW w:w="1134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</w:p>
        </w:tc>
        <w:tc>
          <w:tcPr>
            <w:tcW w:w="2976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新风机组的处理风量与各层新风机送风量不匹配，新风机组的处理风量不足</w:t>
            </w:r>
          </w:p>
        </w:tc>
        <w:tc>
          <w:tcPr>
            <w:tcW w:w="2269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更换新型板式交换器</w:t>
            </w:r>
          </w:p>
        </w:tc>
        <w:tc>
          <w:tcPr>
            <w:tcW w:w="1609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2台</w:t>
            </w:r>
          </w:p>
        </w:tc>
      </w:tr>
    </w:tbl>
    <w:p>
      <w:pPr>
        <w:pStyle w:val="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00" w:lineRule="auto"/>
        <w:ind w:left="0" w:leftChars="0" w:right="0" w:rightChars="0" w:firstLine="0" w:firstLineChars="0"/>
        <w:textAlignment w:val="auto"/>
        <w:rPr>
          <w:rFonts w:hint="eastAsia" w:ascii="仿宋_GB2312" w:hAnsi="仿宋_GB2312" w:eastAsia="仿宋_GB2312" w:cs="仿宋_GB2312"/>
          <w:bCs/>
          <w:sz w:val="24"/>
          <w:szCs w:val="24"/>
        </w:rPr>
      </w:pPr>
    </w:p>
    <w:p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bCs/>
          <w:sz w:val="24"/>
          <w:szCs w:val="24"/>
        </w:rPr>
      </w:pPr>
      <w:r>
        <w:rPr>
          <w:rFonts w:hint="eastAsia" w:ascii="楷体_GB2312" w:hAnsi="楷体_GB2312" w:eastAsia="楷体_GB2312" w:cs="楷体"/>
          <w:bCs/>
          <w:kern w:val="2"/>
          <w:sz w:val="24"/>
          <w:szCs w:val="24"/>
          <w:lang w:val="en-US" w:eastAsia="zh-CN" w:bidi="ar-SA"/>
        </w:rPr>
        <w:t>（二）节能改造效果</w:t>
      </w:r>
    </w:p>
    <w:p>
      <w:pPr>
        <w:pStyle w:val="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00" w:lineRule="auto"/>
        <w:ind w:left="0" w:leftChars="0" w:right="0" w:rightChars="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1.</w:t>
      </w:r>
      <w:r>
        <w:rPr>
          <w:rFonts w:hint="eastAsia" w:ascii="仿宋_GB2312" w:hAnsi="仿宋_GB2312" w:eastAsia="仿宋_GB2312" w:cs="仿宋_GB2312"/>
          <w:sz w:val="24"/>
          <w:szCs w:val="24"/>
        </w:rPr>
        <w:t>中期测评结果</w:t>
      </w:r>
    </w:p>
    <w:tbl>
      <w:tblPr>
        <w:tblStyle w:val="7"/>
        <w:tblW w:w="8522" w:type="dxa"/>
        <w:jc w:val="center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93"/>
        <w:gridCol w:w="2437"/>
        <w:gridCol w:w="2236"/>
        <w:gridCol w:w="1756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6" w:hRule="exact"/>
          <w:jc w:val="center"/>
        </w:trPr>
        <w:tc>
          <w:tcPr>
            <w:tcW w:w="209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基准年能耗</w:t>
            </w:r>
          </w:p>
        </w:tc>
        <w:tc>
          <w:tcPr>
            <w:tcW w:w="243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1515万kWh/年</w:t>
            </w:r>
          </w:p>
        </w:tc>
        <w:tc>
          <w:tcPr>
            <w:tcW w:w="2236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改造计算面积</w:t>
            </w:r>
          </w:p>
        </w:tc>
        <w:tc>
          <w:tcPr>
            <w:tcW w:w="1756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9.20万m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superscript"/>
              </w:rPr>
              <w:t>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6" w:hRule="exact"/>
          <w:jc w:val="center"/>
        </w:trPr>
        <w:tc>
          <w:tcPr>
            <w:tcW w:w="209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测评节能量</w:t>
            </w:r>
          </w:p>
        </w:tc>
        <w:tc>
          <w:tcPr>
            <w:tcW w:w="243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213万kWh/年</w:t>
            </w:r>
          </w:p>
        </w:tc>
        <w:tc>
          <w:tcPr>
            <w:tcW w:w="2236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折算面积</w:t>
            </w:r>
          </w:p>
        </w:tc>
        <w:tc>
          <w:tcPr>
            <w:tcW w:w="1756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6.44万 m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vertAlign w:val="superscript"/>
              </w:rPr>
              <w:t>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2" w:hRule="exact"/>
          <w:jc w:val="center"/>
        </w:trPr>
        <w:tc>
          <w:tcPr>
            <w:tcW w:w="209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节能率</w:t>
            </w:r>
          </w:p>
        </w:tc>
        <w:tc>
          <w:tcPr>
            <w:tcW w:w="6429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300" w:lineRule="auto"/>
              <w:ind w:left="0" w:leftChars="0" w:right="0" w:rightChars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14%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00" w:lineRule="auto"/>
        <w:ind w:left="0" w:leftChars="0" w:right="0" w:rightChars="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表注：该建筑物运行阶段使用的能源种类为电力，主要用能设备为空调系统、照明和插座系统、动力系统等。本项目“基准年能耗”为2009年、2010年和2011年的年平均建筑能耗。</w:t>
      </w:r>
    </w:p>
    <w:p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2.</w:t>
      </w:r>
      <w:r>
        <w:rPr>
          <w:rFonts w:hint="eastAsia" w:ascii="仿宋_GB2312" w:hAnsi="仿宋_GB2312" w:eastAsia="仿宋_GB2312" w:cs="仿宋_GB2312"/>
          <w:sz w:val="24"/>
          <w:szCs w:val="24"/>
        </w:rPr>
        <w:t>后评估节能效果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改造前基准年能耗为1515万kWh，改造后一年的能耗为1320万kWh，实际节能量为195万kWh，实际节能率为13%，实际节能量低于中期测评的主要原因是建筑物业为保证舒适度，部分空调新风设备较改造前运行强度增大，因该建筑是集商场、办公和酒店等功能于一体的多功能综合建筑，设备运行强度和人员负荷等均为不稳定影响因素，故节能量的波动属于正常范围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00" w:lineRule="auto"/>
        <w:ind w:left="0" w:leftChars="0" w:right="0" w:rightChars="0"/>
        <w:jc w:val="center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drawing>
          <wp:inline distT="0" distB="0" distL="114300" distR="114300">
            <wp:extent cx="2569210" cy="1835150"/>
            <wp:effectExtent l="0" t="0" r="2540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69210" cy="18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sz w:val="24"/>
          <w:szCs w:val="24"/>
        </w:rPr>
        <w:drawing>
          <wp:inline distT="0" distB="0" distL="114300" distR="114300">
            <wp:extent cx="2585720" cy="1845945"/>
            <wp:effectExtent l="0" t="0" r="508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85720" cy="1845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00" w:lineRule="auto"/>
        <w:ind w:left="0" w:leftChars="0" w:right="0" w:rightChars="0"/>
        <w:jc w:val="center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drawing>
          <wp:inline distT="0" distB="0" distL="114300" distR="114300">
            <wp:extent cx="3879215" cy="2769870"/>
            <wp:effectExtent l="0" t="0" r="6985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79215" cy="2769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三、先进经验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楷体_GB2312" w:hAnsi="楷体_GB2312" w:eastAsia="楷体_GB2312" w:cs="楷体"/>
          <w:bCs/>
          <w:sz w:val="24"/>
          <w:szCs w:val="24"/>
        </w:rPr>
      </w:pPr>
      <w:r>
        <w:rPr>
          <w:rFonts w:hint="eastAsia" w:ascii="楷体_GB2312" w:hAnsi="楷体_GB2312" w:eastAsia="楷体_GB2312" w:cs="楷体"/>
          <w:bCs/>
          <w:sz w:val="24"/>
          <w:szCs w:val="24"/>
        </w:rPr>
        <w:t>（一）工程实施模式独特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00" w:lineRule="auto"/>
        <w:ind w:left="0" w:leftChars="0" w:right="0" w:rightChars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该建筑中央空调系统和管网设施陈旧老化，机组效率不断降低，已达到使用极限，需进行全面改造，但高昂的改造费用增长投资回收期限，节能公司不愿以分享型合同能源管理模式实施。此外，在建筑权利人多，</w:t>
      </w:r>
      <w:r>
        <w:rPr>
          <w:rFonts w:hint="eastAsia" w:ascii="仿宋_GB2312" w:hAnsi="仿宋_GB2312" w:eastAsia="仿宋_GB2312" w:cs="仿宋_GB2312"/>
          <w:color w:val="222222"/>
          <w:sz w:val="24"/>
          <w:szCs w:val="24"/>
          <w:shd w:val="clear" w:color="auto" w:fill="FFFFFF"/>
        </w:rPr>
        <w:t>用户群体复杂难以推进改造的情况下，由</w:t>
      </w:r>
      <w:r>
        <w:rPr>
          <w:rFonts w:hint="eastAsia" w:ascii="仿宋_GB2312" w:hAnsi="仿宋_GB2312" w:eastAsia="仿宋_GB2312" w:cs="仿宋_GB2312"/>
          <w:sz w:val="24"/>
          <w:szCs w:val="24"/>
        </w:rPr>
        <w:t>物业公司牵头，多次召开业主大会，以分摊形式筹措改造资金（1600万元），通过招标选定改造企业采用节能量保证型合同能源管理模式实施，为类似深圳国贸大厦超高层综合型多功能楼宇节能改造提供借鉴。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楷体_GB2312" w:hAnsi="楷体_GB2312" w:eastAsia="楷体_GB2312" w:cs="楷体"/>
          <w:bCs/>
          <w:sz w:val="24"/>
          <w:szCs w:val="24"/>
        </w:rPr>
      </w:pPr>
      <w:r>
        <w:rPr>
          <w:rFonts w:hint="eastAsia" w:ascii="楷体_GB2312" w:hAnsi="楷体_GB2312" w:eastAsia="楷体_GB2312" w:cs="楷体"/>
          <w:bCs/>
          <w:sz w:val="24"/>
          <w:szCs w:val="24"/>
          <w:lang w:val="en-US" w:eastAsia="zh-CN"/>
        </w:rPr>
        <w:t>（二）</w:t>
      </w:r>
      <w:r>
        <w:rPr>
          <w:rFonts w:hint="eastAsia" w:ascii="楷体_GB2312" w:hAnsi="楷体_GB2312" w:eastAsia="楷体_GB2312" w:cs="楷体"/>
          <w:bCs/>
          <w:sz w:val="24"/>
          <w:szCs w:val="24"/>
        </w:rPr>
        <w:t>改造措施把控精细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00" w:lineRule="auto"/>
        <w:ind w:left="0" w:leftChars="0" w:right="0" w:rightChars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项目摒弃常规改造“头痛医头，脚痛医脚”的弊病，采用精细化节能措施进行系统改造。一是根据空调实际需求，压缩放大设计余量，在更新制冷主机时，制冷主机总装机量由原系统设计的3000冷吨减少至2800冷吨，制冷主机输入功率减幅22%；二是准确匹配计算风量和冷量关系，新风机改造后在总新风量增加70%，功率减小60%；三是减少系统能量损失，改造后换热器效率得到提升，</w:t>
      </w:r>
      <w:r>
        <w:rPr>
          <w:rFonts w:hint="eastAsia" w:ascii="仿宋_GB2312" w:hAnsi="仿宋_GB2312" w:eastAsia="仿宋_GB2312" w:cs="仿宋_GB2312"/>
          <w:sz w:val="24"/>
          <w:szCs w:val="24"/>
          <w:lang w:val="zh-CN"/>
        </w:rPr>
        <w:t>使得原一、二次供水温差从3.5</w:t>
      </w:r>
      <w:r>
        <w:rPr>
          <w:rFonts w:hint="eastAsia" w:ascii="仿宋_GB2312" w:hAnsi="仿宋_GB2312" w:eastAsia="仿宋_GB2312" w:cs="仿宋_GB2312"/>
          <w:sz w:val="24"/>
          <w:szCs w:val="24"/>
        </w:rPr>
        <w:t>℃降至0.5℃，大大降低管网冷量损失。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楷体_GB2312" w:hAnsi="楷体_GB2312" w:eastAsia="楷体_GB2312" w:cs="楷体"/>
          <w:bCs/>
          <w:sz w:val="24"/>
          <w:szCs w:val="24"/>
        </w:rPr>
      </w:pPr>
      <w:r>
        <w:rPr>
          <w:rFonts w:hint="eastAsia" w:ascii="楷体_GB2312" w:hAnsi="楷体_GB2312" w:eastAsia="楷体_GB2312" w:cs="楷体"/>
          <w:bCs/>
          <w:sz w:val="24"/>
          <w:szCs w:val="24"/>
          <w:lang w:val="en-US" w:eastAsia="zh-CN"/>
        </w:rPr>
        <w:t>（三）</w:t>
      </w:r>
      <w:r>
        <w:rPr>
          <w:rFonts w:hint="eastAsia" w:ascii="楷体_GB2312" w:hAnsi="楷体_GB2312" w:eastAsia="楷体_GB2312" w:cs="楷体"/>
          <w:bCs/>
          <w:sz w:val="24"/>
          <w:szCs w:val="24"/>
        </w:rPr>
        <w:t>设备管控人机结合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00" w:lineRule="auto"/>
        <w:ind w:left="0" w:leftChars="0" w:right="0" w:rightChars="0" w:firstLine="480" w:firstLineChars="200"/>
        <w:jc w:val="both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在建筑已有楼宇自控系统(BAS)的基础上，安排专人定时巡查设备运行参数，实时测试现场温度，根据外部气象条件和内部使用需求做到适时人工干预，精确把握调整主机增加或减少开启的时机，避免主机因参数测量误差以及冗余设置因素可能导致BAS自动调整主机的误判，保证空调主机运行策略组合最优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="0" w:leftChars="0" w:right="0" w:rightChars="0" w:firstLine="480" w:firstLineChars="200"/>
        <w:jc w:val="left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="0" w:leftChars="0" w:right="0" w:rightChars="0" w:firstLine="480" w:firstLineChars="200"/>
        <w:jc w:val="left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Calibri Light">
    <w:altName w:val="Calibri"/>
    <w:panose1 w:val="020F0302020204030204"/>
    <w:charset w:val="00"/>
    <w:family w:val="swiss"/>
    <w:pitch w:val="default"/>
    <w:sig w:usb0="00000000" w:usb1="00000000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小标宋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sz w:val="18"/>
      </w:rPr>
      <w:pict>
        <v:shape id="_x0000_s4097" o:spid="_x0000_s4097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>
          <v:path/>
          <v:fill on="f" focussize="0,0"/>
          <v:stroke on="f"/>
          <v:imagedata o:title=""/>
          <o:lock v:ext="edit" aspectratio="f"/>
          <v:textbox inset="0mm,0mm,0mm,0mm" style="mso-fit-shape-to-text:t;">
            <w:txbxContent>
              <w:p>
                <w:pPr>
                  <w:snapToGrid w:val="0"/>
                  <w:rPr>
                    <w:rFonts w:hint="eastAsia" w:eastAsiaTheme="minorEastAsia"/>
                    <w:sz w:val="18"/>
                    <w:lang w:eastAsia="zh-CN"/>
                  </w:rPr>
                </w:pPr>
                <w:r>
                  <w:rPr>
                    <w:rFonts w:hint="eastAsia"/>
                    <w:sz w:val="18"/>
                    <w:lang w:eastAsia="zh-CN"/>
                  </w:rPr>
                  <w:fldChar w:fldCharType="begin"/>
                </w:r>
                <w:r>
                  <w:rPr>
                    <w:rFonts w:hint="eastAsia"/>
                    <w:sz w:val="18"/>
                    <w:lang w:eastAsia="zh-CN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  <w:lang w:eastAsia="zh-CN"/>
                  </w:rPr>
                  <w:fldChar w:fldCharType="separate"/>
                </w:r>
                <w:r>
                  <w:rPr>
                    <w:sz w:val="18"/>
                  </w:rPr>
                  <w:t>1</w:t>
                </w:r>
                <w:r>
                  <w:rPr>
                    <w:rFonts w:hint="eastAsia"/>
                    <w:sz w:val="18"/>
                    <w:lang w:eastAsia="zh-CN"/>
                  </w:rPr>
                  <w:fldChar w:fldCharType="end"/>
                </w:r>
              </w:p>
            </w:txbxContent>
          </v:textbox>
        </v:shape>
      </w:pic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750196"/>
    <w:rsid w:val="00012B1A"/>
    <w:rsid w:val="00095324"/>
    <w:rsid w:val="002019DE"/>
    <w:rsid w:val="002C08E2"/>
    <w:rsid w:val="00316707"/>
    <w:rsid w:val="00453839"/>
    <w:rsid w:val="00533B8F"/>
    <w:rsid w:val="005B4791"/>
    <w:rsid w:val="005C7E9B"/>
    <w:rsid w:val="00750196"/>
    <w:rsid w:val="00754004"/>
    <w:rsid w:val="007675E4"/>
    <w:rsid w:val="00770E77"/>
    <w:rsid w:val="00BE6403"/>
    <w:rsid w:val="00CA7BD2"/>
    <w:rsid w:val="00F13632"/>
    <w:rsid w:val="00F572F2"/>
    <w:rsid w:val="00F6137B"/>
    <w:rsid w:val="0C1153E0"/>
    <w:rsid w:val="1E6A7091"/>
    <w:rsid w:val="269B1205"/>
    <w:rsid w:val="285E205E"/>
    <w:rsid w:val="30510776"/>
    <w:rsid w:val="357F0B73"/>
    <w:rsid w:val="4FF45FDE"/>
    <w:rsid w:val="66787412"/>
    <w:rsid w:val="77CD5C04"/>
    <w:rsid w:val="78135462"/>
    <w:rsid w:val="7D3E37ED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nhideWhenUsed="0" w:uiPriority="0" w:semiHidden="0" w:name="List Number"/>
    <w:lsdException w:uiPriority="0" w:name="List 2"/>
    <w:lsdException w:uiPriority="0" w:name="List 3"/>
    <w:lsdException w:unhideWhenUsed="0" w:uiPriority="0" w:semiHidden="0" w:name="List 4"/>
    <w:lsdException w:unhideWhenUsed="0" w:uiPriority="0" w:semiHidden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semiHidden="0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unhideWhenUsed/>
    <w:uiPriority w:val="1"/>
  </w:style>
  <w:style w:type="table" w:default="1" w:styleId="7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ocument Map"/>
    <w:basedOn w:val="1"/>
    <w:link w:val="9"/>
    <w:qFormat/>
    <w:uiPriority w:val="0"/>
    <w:rPr>
      <w:rFonts w:ascii="宋体" w:eastAsia="宋体"/>
      <w:sz w:val="18"/>
      <w:szCs w:val="18"/>
    </w:rPr>
  </w:style>
  <w:style w:type="paragraph" w:styleId="3">
    <w:name w:val="Balloon Text"/>
    <w:basedOn w:val="1"/>
    <w:link w:val="12"/>
    <w:qFormat/>
    <w:uiPriority w:val="0"/>
    <w:rPr>
      <w:sz w:val="18"/>
      <w:szCs w:val="18"/>
    </w:rPr>
  </w:style>
  <w:style w:type="paragraph" w:styleId="4">
    <w:name w:val="footer"/>
    <w:basedOn w:val="1"/>
    <w:link w:val="1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8">
    <w:name w:val="列出段落1"/>
    <w:basedOn w:val="1"/>
    <w:qFormat/>
    <w:uiPriority w:val="34"/>
    <w:pPr>
      <w:ind w:firstLine="420" w:firstLineChars="200"/>
    </w:pPr>
  </w:style>
  <w:style w:type="character" w:customStyle="1" w:styleId="9">
    <w:name w:val="文档结构图 Char"/>
    <w:basedOn w:val="6"/>
    <w:link w:val="2"/>
    <w:qFormat/>
    <w:uiPriority w:val="0"/>
    <w:rPr>
      <w:rFonts w:ascii="宋体" w:hAnsi="Times New Roman" w:eastAsia="宋体"/>
      <w:kern w:val="2"/>
      <w:sz w:val="18"/>
      <w:szCs w:val="18"/>
    </w:rPr>
  </w:style>
  <w:style w:type="character" w:customStyle="1" w:styleId="10">
    <w:name w:val="页眉 Char"/>
    <w:basedOn w:val="6"/>
    <w:link w:val="5"/>
    <w:qFormat/>
    <w:uiPriority w:val="0"/>
    <w:rPr>
      <w:rFonts w:ascii="Times New Roman" w:hAnsi="Times New Roman"/>
      <w:kern w:val="2"/>
      <w:sz w:val="18"/>
      <w:szCs w:val="18"/>
    </w:rPr>
  </w:style>
  <w:style w:type="character" w:customStyle="1" w:styleId="11">
    <w:name w:val="页脚 Char"/>
    <w:basedOn w:val="6"/>
    <w:link w:val="4"/>
    <w:uiPriority w:val="0"/>
    <w:rPr>
      <w:rFonts w:ascii="Times New Roman" w:hAnsi="Times New Roman"/>
      <w:kern w:val="2"/>
      <w:sz w:val="18"/>
      <w:szCs w:val="18"/>
    </w:rPr>
  </w:style>
  <w:style w:type="character" w:customStyle="1" w:styleId="12">
    <w:name w:val="批注框文本 Char"/>
    <w:basedOn w:val="6"/>
    <w:link w:val="3"/>
    <w:qFormat/>
    <w:uiPriority w:val="0"/>
    <w:rPr>
      <w:rFonts w:ascii="Times New Roman" w:hAnsi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7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404</Words>
  <Characters>2304</Characters>
  <Lines>19</Lines>
  <Paragraphs>5</Paragraphs>
  <ScaleCrop>false</ScaleCrop>
  <LinksUpToDate>false</LinksUpToDate>
  <CharactersWithSpaces>2703</CharactersWithSpaces>
  <Application>WPS Office_10.1.0.6554_F1E327BC-269C-435d-A152-05C5408002CA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2017-06-15T02:05:00Z</dcterms:created>
  <dc:creator>123</dc:creator>
  <cp:lastModifiedBy>小陈</cp:lastModifiedBy>
  <cp:lastPrinted>2017-06-22T01:37:05Z</cp:lastPrinted>
  <dcterms:modified xsi:type="dcterms:W3CDTF">2017-06-22T01:39:17Z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2052-10.1.0.6554</vt:lpwstr>
  </property>
</Properties>
</file>